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4"/>
          <w:szCs w:val="24"/>
          <w:lang w:val="en-US" w:eastAsia="zh-CN"/>
        </w:rPr>
      </w:pPr>
      <w:bookmarkStart w:id="0" w:name="_Ref494746248"/>
      <w:r>
        <w:rPr>
          <w:rFonts w:ascii="Arial" w:hAnsi="Arial" w:cs="Arial"/>
          <w:b/>
          <w:sz w:val="24"/>
          <w:szCs w:val="24"/>
        </w:rPr>
        <w:t xml:space="preserve">3GPP TSG RAN WG1 </w:t>
      </w:r>
      <w:r>
        <w:rPr>
          <w:rFonts w:ascii="Arial" w:hAnsi="Arial" w:cs="Arial"/>
          <w:b/>
          <w:sz w:val="24"/>
          <w:szCs w:val="24"/>
          <w:lang w:eastAsia="zh-CN"/>
        </w:rPr>
        <w:t>#10</w:t>
      </w:r>
      <w:r>
        <w:rPr>
          <w:rFonts w:hint="eastAsia" w:ascii="Arial" w:hAnsi="Arial" w:cs="Arial"/>
          <w:b/>
          <w:sz w:val="24"/>
          <w:szCs w:val="24"/>
          <w:lang w:val="en-US" w:eastAsia="zh-CN"/>
        </w:rPr>
        <w:t>9-e</w:t>
      </w:r>
      <w:r>
        <w:rPr>
          <w:rFonts w:ascii="Arial" w:hAnsi="Arial" w:cs="Arial"/>
          <w:b/>
          <w:sz w:val="24"/>
          <w:szCs w:val="24"/>
        </w:rPr>
        <w:tab/>
      </w:r>
      <w:r>
        <w:rPr>
          <w:rFonts w:ascii="Arial" w:hAnsi="Arial" w:cs="Arial"/>
          <w:b/>
          <w:sz w:val="24"/>
          <w:szCs w:val="24"/>
        </w:rPr>
        <w:t>R1-2</w:t>
      </w:r>
      <w:r>
        <w:rPr>
          <w:rFonts w:hint="eastAsia" w:ascii="Arial" w:hAnsi="Arial" w:cs="Arial"/>
          <w:b/>
          <w:sz w:val="24"/>
          <w:szCs w:val="24"/>
          <w:lang w:val="en-US" w:eastAsia="zh-CN"/>
        </w:rPr>
        <w:t>203295</w:t>
      </w:r>
    </w:p>
    <w:p>
      <w:pPr>
        <w:tabs>
          <w:tab w:val="right" w:pos="9630"/>
        </w:tabs>
        <w:spacing w:after="0"/>
        <w:rPr>
          <w:rFonts w:ascii="Arial" w:hAnsi="Arial" w:cs="Arial"/>
          <w:b/>
          <w:sz w:val="22"/>
          <w:szCs w:val="22"/>
        </w:rPr>
      </w:pPr>
      <w:r>
        <w:rPr>
          <w:rFonts w:ascii="Arial" w:hAnsi="Arial" w:cs="Arial"/>
          <w:b/>
          <w:sz w:val="24"/>
          <w:szCs w:val="24"/>
          <w:lang w:eastAsia="zh-CN"/>
        </w:rPr>
        <w:t xml:space="preserve">e-Meeting, </w:t>
      </w:r>
      <w:r>
        <w:rPr>
          <w:rFonts w:hint="eastAsia" w:ascii="Arial" w:hAnsi="Arial" w:cs="Arial"/>
          <w:b/>
          <w:sz w:val="24"/>
          <w:szCs w:val="24"/>
          <w:lang w:val="en-US" w:eastAsia="zh-CN"/>
        </w:rPr>
        <w:t>May 9</w:t>
      </w:r>
      <w:r>
        <w:rPr>
          <w:rFonts w:ascii="Arial" w:hAnsi="Arial" w:cs="Arial"/>
          <w:b/>
          <w:sz w:val="24"/>
          <w:szCs w:val="24"/>
          <w:vertAlign w:val="superscript"/>
          <w:lang w:val="en-US" w:eastAsia="zh-CN"/>
        </w:rPr>
        <w:t>th</w:t>
      </w:r>
      <w:r>
        <w:rPr>
          <w:rFonts w:ascii="Arial" w:hAnsi="Arial" w:cs="Arial"/>
          <w:b/>
          <w:sz w:val="24"/>
          <w:szCs w:val="24"/>
          <w:lang w:val="en-US" w:eastAsia="zh-CN"/>
        </w:rPr>
        <w:t xml:space="preserve"> -</w:t>
      </w:r>
      <w:r>
        <w:rPr>
          <w:rFonts w:hint="eastAsia" w:ascii="Arial" w:hAnsi="Arial" w:cs="Arial"/>
          <w:b/>
          <w:sz w:val="24"/>
          <w:szCs w:val="24"/>
          <w:lang w:val="en-US" w:eastAsia="zh-CN"/>
        </w:rPr>
        <w:t xml:space="preserve"> 20</w:t>
      </w:r>
      <w:r>
        <w:rPr>
          <w:rFonts w:hint="eastAsia" w:ascii="Arial" w:hAnsi="Arial" w:cs="Arial"/>
          <w:b/>
          <w:sz w:val="24"/>
          <w:szCs w:val="24"/>
          <w:vertAlign w:val="superscript"/>
          <w:lang w:val="en-US" w:eastAsia="zh-CN"/>
        </w:rPr>
        <w:t>th</w:t>
      </w:r>
      <w:r>
        <w:rPr>
          <w:rFonts w:ascii="Arial" w:hAnsi="Arial" w:cs="Arial"/>
          <w:b/>
          <w:sz w:val="24"/>
          <w:szCs w:val="24"/>
          <w:lang w:val="en-US" w:eastAsia="zh-CN"/>
        </w:rPr>
        <w:t>,</w:t>
      </w:r>
      <w:r>
        <w:rPr>
          <w:rFonts w:hint="eastAsia" w:ascii="Arial" w:hAnsi="Arial" w:cs="Arial"/>
          <w:b/>
          <w:sz w:val="24"/>
          <w:szCs w:val="24"/>
          <w:lang w:val="en-US" w:eastAsia="zh-CN"/>
        </w:rPr>
        <w:t xml:space="preserve"> </w:t>
      </w:r>
      <w:r>
        <w:rPr>
          <w:rFonts w:ascii="Arial" w:hAnsi="Arial" w:cs="Arial"/>
          <w:b/>
          <w:sz w:val="24"/>
          <w:szCs w:val="24"/>
          <w:lang w:eastAsia="zh-CN"/>
        </w:rPr>
        <w:t>202</w:t>
      </w:r>
      <w:r>
        <w:rPr>
          <w:rFonts w:hint="eastAsia" w:ascii="Arial" w:hAnsi="Arial" w:cs="Arial"/>
          <w:b/>
          <w:sz w:val="24"/>
          <w:szCs w:val="24"/>
          <w:lang w:val="en-US" w:eastAsia="zh-CN"/>
        </w:rPr>
        <w:t>2</w:t>
      </w:r>
      <w:r>
        <w:rPr>
          <w:rFonts w:ascii="Arial" w:hAnsi="Arial" w:cs="Arial"/>
          <w:b/>
          <w:sz w:val="22"/>
          <w:szCs w:val="22"/>
        </w:rPr>
        <w:tab/>
      </w:r>
    </w:p>
    <w:p>
      <w:pPr>
        <w:pStyle w:val="37"/>
        <w:jc w:val="both"/>
      </w:pPr>
    </w:p>
    <w:p>
      <w:pPr>
        <w:keepNext w:val="0"/>
        <w:keepLines w:val="0"/>
        <w:pageBreakBefore w:val="0"/>
        <w:widowControl/>
        <w:kinsoku/>
        <w:wordWrap/>
        <w:overflowPunct w:val="0"/>
        <w:topLinePunct w:val="0"/>
        <w:autoSpaceDE w:val="0"/>
        <w:autoSpaceDN w:val="0"/>
        <w:bidi w:val="0"/>
        <w:adjustRightInd w:val="0"/>
        <w:snapToGrid/>
        <w:spacing w:after="120"/>
        <w:ind w:left="1988" w:hanging="1988"/>
        <w:textAlignment w:val="baseline"/>
        <w:rPr>
          <w:rFonts w:hint="eastAsia" w:ascii="Arial" w:hAnsi="Arial"/>
          <w:b/>
          <w:sz w:val="22"/>
          <w:szCs w:val="22"/>
          <w:lang w:val="en-US"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val="en-US" w:eastAsia="zh-CN"/>
        </w:rPr>
        <w:t>Rel-17</w:t>
      </w:r>
      <w:r>
        <w:rPr>
          <w:rFonts w:ascii="Arial" w:hAnsi="Arial"/>
          <w:b/>
          <w:sz w:val="22"/>
          <w:szCs w:val="22"/>
        </w:rPr>
        <w:t xml:space="preserve"> UE features for </w:t>
      </w:r>
      <w:r>
        <w:rPr>
          <w:rFonts w:hint="eastAsia" w:ascii="Arial" w:hAnsi="Arial"/>
          <w:b/>
          <w:sz w:val="22"/>
          <w:szCs w:val="22"/>
          <w:lang w:val="en-US" w:eastAsia="zh-CN"/>
        </w:rPr>
        <w:t>52.6 to 71 GHz</w:t>
      </w:r>
    </w:p>
    <w:p>
      <w:pPr>
        <w:keepNext w:val="0"/>
        <w:keepLines w:val="0"/>
        <w:pageBreakBefore w:val="0"/>
        <w:widowControl/>
        <w:tabs>
          <w:tab w:val="left" w:pos="1985"/>
        </w:tabs>
        <w:kinsoku/>
        <w:wordWrap/>
        <w:overflowPunct w:val="0"/>
        <w:topLinePunct w:val="0"/>
        <w:autoSpaceDE w:val="0"/>
        <w:autoSpaceDN w:val="0"/>
        <w:bidi w:val="0"/>
        <w:adjustRightInd w:val="0"/>
        <w:snapToGrid/>
        <w:spacing w:after="120"/>
        <w:textAlignment w:val="baseline"/>
        <w:rPr>
          <w:rFonts w:hint="default" w:ascii="Arial" w:hAnsi="Arial" w:eastAsia="宋体"/>
          <w:b/>
          <w:sz w:val="22"/>
          <w:szCs w:val="22"/>
          <w:lang w:val="en-US" w:eastAsia="zh-CN"/>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lang w:val="en-US" w:eastAsia="zh-CN"/>
        </w:rPr>
        <w:t>, Sanechips</w:t>
      </w:r>
    </w:p>
    <w:p>
      <w:pPr>
        <w:keepNext w:val="0"/>
        <w:keepLines w:val="0"/>
        <w:pageBreakBefore w:val="0"/>
        <w:widowControl/>
        <w:tabs>
          <w:tab w:val="left" w:pos="1985"/>
        </w:tabs>
        <w:kinsoku/>
        <w:wordWrap/>
        <w:overflowPunct w:val="0"/>
        <w:topLinePunct w:val="0"/>
        <w:autoSpaceDE w:val="0"/>
        <w:autoSpaceDN w:val="0"/>
        <w:bidi w:val="0"/>
        <w:adjustRightInd w:val="0"/>
        <w:snapToGrid/>
        <w:spacing w:after="120"/>
        <w:textAlignment w:val="baseline"/>
        <w:rPr>
          <w:rFonts w:hint="eastAsia" w:ascii="Arial" w:hAnsi="Arial" w:eastAsia="宋体"/>
          <w:b/>
          <w:sz w:val="22"/>
          <w:szCs w:val="22"/>
          <w:lang w:eastAsia="zh-CN"/>
        </w:rPr>
      </w:pPr>
      <w:r>
        <w:rPr>
          <w:rFonts w:ascii="Arial" w:hAnsi="Arial"/>
          <w:b/>
          <w:sz w:val="22"/>
          <w:szCs w:val="22"/>
        </w:rPr>
        <w:t>Agenda item:</w:t>
      </w:r>
      <w:r>
        <w:rPr>
          <w:rFonts w:ascii="Arial" w:hAnsi="Arial"/>
          <w:b/>
          <w:sz w:val="22"/>
          <w:szCs w:val="22"/>
        </w:rPr>
        <w:tab/>
      </w:r>
      <w:r>
        <w:rPr>
          <w:rFonts w:ascii="Arial" w:hAnsi="Arial"/>
          <w:b/>
          <w:sz w:val="22"/>
          <w:szCs w:val="22"/>
        </w:rPr>
        <w:t>8.1</w:t>
      </w:r>
      <w:r>
        <w:rPr>
          <w:rFonts w:hint="eastAsia" w:ascii="Arial" w:hAnsi="Arial"/>
          <w:b/>
          <w:sz w:val="22"/>
          <w:szCs w:val="22"/>
          <w:lang w:val="en-US" w:eastAsia="zh-CN"/>
        </w:rPr>
        <w:t>6</w:t>
      </w:r>
      <w:r>
        <w:rPr>
          <w:rFonts w:ascii="Arial" w:hAnsi="Arial"/>
          <w:b/>
          <w:sz w:val="22"/>
          <w:szCs w:val="22"/>
        </w:rPr>
        <w:t>.</w:t>
      </w:r>
      <w:r>
        <w:rPr>
          <w:rFonts w:hint="eastAsia" w:ascii="Arial" w:hAnsi="Arial"/>
          <w:b/>
          <w:sz w:val="22"/>
          <w:szCs w:val="22"/>
          <w:lang w:val="en-US" w:eastAsia="zh-CN"/>
        </w:rPr>
        <w:t>2</w:t>
      </w:r>
    </w:p>
    <w:p>
      <w:pPr>
        <w:keepNext w:val="0"/>
        <w:keepLines w:val="0"/>
        <w:pageBreakBefore w:val="0"/>
        <w:widowControl/>
        <w:kinsoku/>
        <w:wordWrap/>
        <w:overflowPunct w:val="0"/>
        <w:topLinePunct w:val="0"/>
        <w:autoSpaceDE w:val="0"/>
        <w:autoSpaceDN w:val="0"/>
        <w:bidi w:val="0"/>
        <w:adjustRightInd w:val="0"/>
        <w:snapToGrid/>
        <w:spacing w:after="120"/>
        <w:ind w:left="1990" w:hanging="1990"/>
        <w:textAlignment w:val="baseline"/>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w:t>
      </w:r>
      <w:r>
        <w:rPr>
          <w:rFonts w:hint="eastAsia" w:ascii="Arial" w:hAnsi="Arial"/>
          <w:b/>
          <w:sz w:val="22"/>
          <w:szCs w:val="22"/>
          <w:lang w:val="en-US" w:eastAsia="zh-CN"/>
        </w:rPr>
        <w:t xml:space="preserve"> and </w:t>
      </w:r>
      <w:r>
        <w:rPr>
          <w:rFonts w:ascii="Arial" w:hAnsi="Arial"/>
          <w:b/>
          <w:sz w:val="22"/>
          <w:szCs w:val="22"/>
        </w:rPr>
        <w:t>Decision</w:t>
      </w:r>
    </w:p>
    <w:p>
      <w:pPr>
        <w:pStyle w:val="2"/>
        <w:textAlignment w:val="auto"/>
      </w:pPr>
      <w:bookmarkStart w:id="2" w:name="_Ref4817"/>
      <w:r>
        <w:rPr>
          <w:rFonts w:hint="eastAsia"/>
          <w:lang w:val="en-US" w:eastAsia="zh-CN"/>
        </w:rPr>
        <w:t xml:space="preserve"> </w:t>
      </w:r>
      <w:r>
        <w:t>Introduction</w:t>
      </w:r>
      <w:bookmarkEnd w:id="0"/>
      <w:bookmarkEnd w:id="2"/>
    </w:p>
    <w:p>
      <w:pPr>
        <w:snapToGrid w:val="0"/>
        <w:spacing w:after="120" w:afterLines="50"/>
        <w:rPr>
          <w:sz w:val="21"/>
          <w:szCs w:val="21"/>
          <w:lang w:eastAsia="zh-CN"/>
        </w:rPr>
      </w:pPr>
      <w:r>
        <w:rPr>
          <w:rFonts w:hint="eastAsia"/>
          <w:sz w:val="21"/>
          <w:szCs w:val="21"/>
          <w:lang w:val="en-US" w:eastAsia="zh-CN"/>
        </w:rPr>
        <w:t xml:space="preserve">In this contribution, we will discuss and share our views </w:t>
      </w:r>
      <w:r>
        <w:rPr>
          <w:sz w:val="21"/>
          <w:szCs w:val="21"/>
          <w:lang w:val="en-GB" w:eastAsia="zh-CN"/>
        </w:rPr>
        <w:t xml:space="preserve">on UE features for </w:t>
      </w:r>
      <w:r>
        <w:rPr>
          <w:rFonts w:hint="eastAsia"/>
          <w:sz w:val="21"/>
          <w:szCs w:val="21"/>
          <w:lang w:val="en-GB" w:eastAsia="zh-CN"/>
        </w:rPr>
        <w:t>52.6 to</w:t>
      </w:r>
      <w:r>
        <w:rPr>
          <w:rFonts w:hint="eastAsia"/>
          <w:sz w:val="21"/>
          <w:szCs w:val="21"/>
          <w:lang w:val="en-US" w:eastAsia="zh-CN"/>
        </w:rPr>
        <w:t xml:space="preserve"> </w:t>
      </w:r>
      <w:r>
        <w:rPr>
          <w:rFonts w:hint="eastAsia"/>
          <w:sz w:val="21"/>
          <w:szCs w:val="21"/>
          <w:lang w:val="en-GB" w:eastAsia="zh-CN"/>
        </w:rPr>
        <w:t>71 GHz</w:t>
      </w:r>
      <w:r>
        <w:rPr>
          <w:sz w:val="21"/>
          <w:szCs w:val="21"/>
          <w:lang w:val="en-GB" w:eastAsia="zh-CN"/>
        </w:rPr>
        <w:t xml:space="preserve">. </w:t>
      </w:r>
      <w:r>
        <w:rPr>
          <w:rFonts w:hint="eastAsia"/>
          <w:sz w:val="21"/>
          <w:szCs w:val="21"/>
          <w:lang w:val="en-US" w:eastAsia="zh-CN"/>
        </w:rPr>
        <w:t xml:space="preserve">The latest approved </w:t>
      </w:r>
      <w:r>
        <w:rPr>
          <w:sz w:val="21"/>
          <w:szCs w:val="21"/>
          <w:lang w:val="en-GB" w:eastAsia="zh-CN"/>
        </w:rPr>
        <w:t>UE features list</w:t>
      </w:r>
      <w:r>
        <w:rPr>
          <w:rFonts w:hint="eastAsia"/>
          <w:sz w:val="21"/>
          <w:szCs w:val="21"/>
          <w:lang w:val="en-US" w:eastAsia="zh-CN"/>
        </w:rPr>
        <w:t xml:space="preserve"> can be found in </w:t>
      </w:r>
      <w:r>
        <w:rPr>
          <w:sz w:val="21"/>
          <w:szCs w:val="21"/>
          <w:lang w:val="en-GB" w:eastAsia="zh-CN"/>
        </w:rPr>
        <w:t>[1].</w:t>
      </w:r>
    </w:p>
    <w:p>
      <w:pPr>
        <w:pStyle w:val="2"/>
        <w:textAlignment w:val="auto"/>
        <w:rPr>
          <w:rFonts w:hint="eastAsia"/>
          <w:lang w:val="en-US" w:eastAsia="zh-CN"/>
        </w:rPr>
      </w:pPr>
      <w:r>
        <w:rPr>
          <w:rFonts w:hint="eastAsia"/>
          <w:lang w:val="en-US" w:eastAsia="zh-CN"/>
        </w:rPr>
        <w:t xml:space="preserve"> UE features for above 52.6GHz</w:t>
      </w:r>
    </w:p>
    <w:p>
      <w:pPr>
        <w:pStyle w:val="3"/>
        <w:numPr>
          <w:ilvl w:val="-1"/>
          <w:numId w:val="0"/>
        </w:numPr>
        <w:ind w:left="576" w:hanging="576"/>
        <w:rPr>
          <w:rFonts w:hint="default" w:ascii="Times New Roman" w:hAnsi="Times New Roman" w:cs="Times New Roman"/>
          <w:b/>
          <w:bCs/>
          <w:sz w:val="30"/>
          <w:szCs w:val="30"/>
          <w:lang w:val="en-US" w:eastAsia="zh-CN"/>
        </w:rPr>
      </w:pPr>
      <w:r>
        <w:rPr>
          <w:rFonts w:hint="default" w:ascii="Times New Roman" w:hAnsi="Times New Roman" w:cs="Times New Roman"/>
          <w:b/>
          <w:bCs/>
          <w:sz w:val="30"/>
          <w:szCs w:val="30"/>
          <w:lang w:val="en-US" w:eastAsia="zh-CN"/>
        </w:rPr>
        <w:t>2.1</w:t>
      </w:r>
      <w:r>
        <w:rPr>
          <w:rFonts w:hint="eastAsia" w:ascii="Times New Roman" w:hAnsi="Times New Roman" w:cs="Times New Roman"/>
          <w:b/>
          <w:bCs/>
          <w:sz w:val="30"/>
          <w:szCs w:val="30"/>
          <w:lang w:val="en-US" w:eastAsia="zh-CN"/>
        </w:rPr>
        <w:t xml:space="preserve"> Comments for each Feature</w:t>
      </w:r>
      <w:r>
        <w:rPr>
          <w:rFonts w:hint="default" w:ascii="Times New Roman" w:hAnsi="Times New Roman" w:cs="Times New Roman"/>
          <w:b/>
          <w:bCs/>
          <w:sz w:val="30"/>
          <w:szCs w:val="30"/>
          <w:lang w:val="en-US" w:eastAsia="zh-CN"/>
        </w:rPr>
        <w:t xml:space="preserve"> </w:t>
      </w:r>
    </w:p>
    <w:p>
      <w:pPr>
        <w:pStyle w:val="4"/>
        <w:bidi w:val="0"/>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lang w:val="en-US" w:eastAsia="zh-CN"/>
        </w:rPr>
        <w:t>FG 24-1b</w:t>
      </w: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lang w:val="en-US" w:eastAsia="zh-CN"/>
        </w:rPr>
        <w:t>FG 24-4b</w:t>
      </w:r>
      <w:r>
        <w:rPr>
          <w:rFonts w:hint="eastAsia" w:ascii="Times New Roman" w:hAnsi="Times New Roman" w:cs="Times New Roman"/>
          <w:b/>
          <w:bCs/>
          <w:sz w:val="24"/>
          <w:szCs w:val="24"/>
          <w:lang w:val="en-US" w:eastAsia="zh-CN"/>
        </w:rPr>
        <w:t xml:space="preserve"> and FG 24-1c</w:t>
      </w:r>
    </w:p>
    <w:p>
      <w:pPr>
        <w:spacing w:before="120" w:after="180"/>
        <w:jc w:val="both"/>
        <w:rPr>
          <w:rFonts w:hint="eastAsia" w:cs="Times New Roman"/>
          <w:b w:val="0"/>
          <w:bCs w:val="0"/>
          <w:color w:val="auto"/>
          <w:kern w:val="24"/>
          <w:sz w:val="21"/>
          <w:szCs w:val="21"/>
          <w:highlight w:val="none"/>
          <w:lang w:val="en-US" w:eastAsia="zh-CN"/>
        </w:rPr>
      </w:pPr>
      <w:r>
        <w:rPr>
          <w:rFonts w:hint="eastAsia" w:cs="Times New Roman"/>
          <w:b w:val="0"/>
          <w:bCs w:val="0"/>
          <w:color w:val="auto"/>
          <w:kern w:val="24"/>
          <w:sz w:val="21"/>
          <w:szCs w:val="21"/>
          <w:highlight w:val="none"/>
          <w:lang w:val="en-US" w:eastAsia="zh-CN"/>
        </w:rPr>
        <w:t>In RAN plenary #95 e-meeting, the notes under FG 24-1b, 24-4b and 24-1c was further clarified and the following conclusion was achieved: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80" w:line="280" w:lineRule="atLeast"/>
              <w:jc w:val="both"/>
              <w:rPr>
                <w:rFonts w:hint="default" w:cs="Times New Roman"/>
                <w:b w:val="0"/>
                <w:bCs w:val="0"/>
                <w:color w:val="auto"/>
                <w:kern w:val="24"/>
                <w:sz w:val="21"/>
                <w:szCs w:val="21"/>
                <w:highlight w:val="none"/>
                <w:vertAlign w:val="baseline"/>
                <w:lang w:val="en-US" w:eastAsia="zh-CN"/>
              </w:rPr>
            </w:pPr>
            <w:r>
              <w:rPr>
                <w:rFonts w:hint="eastAsia" w:cs="Times New Roman"/>
                <w:b w:val="0"/>
                <w:bCs w:val="0"/>
                <w:color w:val="auto"/>
                <w:kern w:val="24"/>
                <w:sz w:val="21"/>
                <w:szCs w:val="21"/>
                <w:highlight w:val="none"/>
                <w:lang w:val="en-US" w:eastAsia="zh-CN"/>
              </w:rPr>
              <w:t>Updated Proposal 5 (option 2): replace the notes under FGs 24-1c, 24-4c and 24-5c for multi-RB PUCCH, and replace the bracketed notes under FGs 24-1b and 24-4b for wideband PRACH, with“This FG is only supported when PSD limitation applies within FR2-2 based on the regional regulations”</w:t>
            </w:r>
          </w:p>
        </w:tc>
      </w:tr>
    </w:tbl>
    <w:p>
      <w:pPr>
        <w:spacing w:before="120" w:after="180"/>
        <w:jc w:val="both"/>
        <w:rPr>
          <w:rFonts w:hint="default" w:ascii="Times New Roman" w:hAnsi="Times New Roman" w:cs="Times New Roman"/>
          <w:b/>
          <w:bCs/>
          <w:sz w:val="21"/>
          <w:szCs w:val="21"/>
          <w:lang w:val="en-US" w:eastAsia="zh-CN"/>
        </w:rPr>
      </w:pPr>
      <w:r>
        <w:rPr>
          <w:rFonts w:hint="eastAsia" w:cs="Times New Roman"/>
          <w:b w:val="0"/>
          <w:bCs w:val="0"/>
          <w:color w:val="auto"/>
          <w:kern w:val="24"/>
          <w:sz w:val="21"/>
          <w:szCs w:val="21"/>
          <w:highlight w:val="none"/>
          <w:lang w:val="en-US" w:eastAsia="zh-CN"/>
        </w:rPr>
        <w:t xml:space="preserve">According to the above agreement, we propose to update the notes as </w:t>
      </w:r>
      <w:r>
        <w:rPr>
          <w:rFonts w:hint="default" w:cs="Times New Roman"/>
          <w:b w:val="0"/>
          <w:bCs w:val="0"/>
          <w:color w:val="auto"/>
          <w:kern w:val="24"/>
          <w:sz w:val="21"/>
          <w:szCs w:val="21"/>
          <w:highlight w:val="none"/>
          <w:lang w:val="en-US" w:eastAsia="zh-CN"/>
        </w:rPr>
        <w:t>“This FG is only supported when PSD limitation applies within FR2-2 based on the regional regulations”</w:t>
      </w:r>
      <w:r>
        <w:rPr>
          <w:rFonts w:hint="eastAsia" w:cs="Times New Roman"/>
          <w:b w:val="0"/>
          <w:bCs w:val="0"/>
          <w:color w:val="auto"/>
          <w:kern w:val="24"/>
          <w:sz w:val="21"/>
          <w:szCs w:val="21"/>
          <w:highlight w:val="none"/>
          <w:lang w:val="en-US" w:eastAsia="zh-CN"/>
        </w:rPr>
        <w:t>.</w:t>
      </w:r>
    </w:p>
    <w:p>
      <w:pPr>
        <w:spacing w:before="137" w:beforeLines="50"/>
        <w:rPr>
          <w:rFonts w:hint="default"/>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1</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U</w:t>
      </w:r>
      <w:r>
        <w:rPr>
          <w:rFonts w:hint="default" w:ascii="Times New Roman" w:hAnsi="Times New Roman" w:cs="Times New Roman"/>
          <w:b/>
          <w:bCs/>
          <w:sz w:val="21"/>
          <w:szCs w:val="21"/>
          <w:lang w:val="en-US" w:eastAsia="zh-CN"/>
        </w:rPr>
        <w:t>pdate the notes</w:t>
      </w:r>
      <w:r>
        <w:rPr>
          <w:rFonts w:hint="eastAsia" w:cs="Times New Roman"/>
          <w:b/>
          <w:bCs/>
          <w:sz w:val="21"/>
          <w:szCs w:val="21"/>
          <w:lang w:val="en-US" w:eastAsia="zh-CN"/>
        </w:rPr>
        <w:t xml:space="preserve"> in FG 24-1b, FG 24-4b and FG 24-1c as</w:t>
      </w:r>
      <w:r>
        <w:rPr>
          <w:rFonts w:hint="eastAsia"/>
          <w:b/>
          <w:bCs/>
          <w:sz w:val="21"/>
          <w:szCs w:val="21"/>
          <w:lang w:val="en-US" w:eastAsia="zh-CN"/>
        </w:rPr>
        <w:t xml:space="preserve"> </w:t>
      </w:r>
      <w:r>
        <w:rPr>
          <w:rFonts w:hint="default"/>
          <w:b/>
          <w:bCs/>
          <w:sz w:val="21"/>
          <w:szCs w:val="21"/>
          <w:lang w:val="en-US" w:eastAsia="zh-CN"/>
        </w:rPr>
        <w:t>“This FG is only supported when PSD limitation applies within FR2-2 based on the regional regulations”</w:t>
      </w:r>
      <w:r>
        <w:rPr>
          <w:rFonts w:hint="eastAsia"/>
          <w:b/>
          <w:bCs/>
          <w:sz w:val="21"/>
          <w:szCs w:val="21"/>
          <w:lang w:val="en-US" w:eastAsia="zh-CN"/>
        </w:rPr>
        <w:t>.</w:t>
      </w:r>
    </w:p>
    <w:p>
      <w:pPr>
        <w:pStyle w:val="4"/>
        <w:bidi w:val="0"/>
        <w:rPr>
          <w:rFonts w:hint="default"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 </w:t>
      </w:r>
      <w:r>
        <w:rPr>
          <w:rFonts w:hint="default" w:ascii="Times New Roman" w:hAnsi="Times New Roman" w:cs="Times New Roman"/>
          <w:b/>
          <w:bCs/>
          <w:sz w:val="24"/>
          <w:szCs w:val="24"/>
          <w:lang w:val="en-US" w:eastAsia="zh-CN"/>
        </w:rPr>
        <w:t>FG 24-</w:t>
      </w:r>
      <w:r>
        <w:rPr>
          <w:rFonts w:hint="eastAsia" w:ascii="Times New Roman" w:hAnsi="Times New Roman" w:cs="Times New Roman"/>
          <w:b/>
          <w:bCs/>
          <w:sz w:val="24"/>
          <w:szCs w:val="24"/>
          <w:lang w:val="en-US" w:eastAsia="zh-CN"/>
        </w:rPr>
        <w:t>2</w:t>
      </w:r>
      <w:r>
        <w:rPr>
          <w:rFonts w:hint="default" w:ascii="Times New Roman" w:hAnsi="Times New Roman" w:cs="Times New Roman"/>
          <w:b/>
          <w:bCs/>
          <w:sz w:val="24"/>
          <w:szCs w:val="24"/>
          <w:lang w:val="en-US" w:eastAsia="zh-CN"/>
        </w:rPr>
        <w:t xml:space="preserve"> and FG 24-</w:t>
      </w:r>
      <w:r>
        <w:rPr>
          <w:rFonts w:hint="eastAsia" w:ascii="Times New Roman" w:hAnsi="Times New Roman" w:cs="Times New Roman"/>
          <w:b/>
          <w:bCs/>
          <w:sz w:val="24"/>
          <w:szCs w:val="24"/>
          <w:lang w:val="en-US" w:eastAsia="zh-CN"/>
        </w:rPr>
        <w:t>3</w:t>
      </w:r>
    </w:p>
    <w:p>
      <w:pPr>
        <w:spacing w:before="120" w:after="180"/>
        <w:jc w:val="both"/>
        <w:rPr>
          <w:rFonts w:hint="eastAsia" w:cs="Times New Roman"/>
          <w:b w:val="0"/>
          <w:bCs w:val="0"/>
          <w:color w:val="auto"/>
          <w:kern w:val="24"/>
          <w:sz w:val="21"/>
          <w:szCs w:val="21"/>
          <w:highlight w:val="none"/>
          <w:lang w:val="en-US" w:eastAsia="zh-CN"/>
        </w:rPr>
      </w:pPr>
      <w:r>
        <w:rPr>
          <w:rFonts w:hint="eastAsia" w:cs="Times New Roman"/>
          <w:b w:val="0"/>
          <w:bCs w:val="0"/>
          <w:color w:val="auto"/>
          <w:kern w:val="24"/>
          <w:sz w:val="21"/>
          <w:szCs w:val="21"/>
          <w:highlight w:val="none"/>
          <w:lang w:val="en-US" w:eastAsia="zh-CN"/>
        </w:rPr>
        <w:t>F</w:t>
      </w:r>
      <w:r>
        <w:rPr>
          <w:rFonts w:hint="default" w:cs="Times New Roman"/>
          <w:b w:val="0"/>
          <w:bCs w:val="0"/>
          <w:color w:val="auto"/>
          <w:kern w:val="24"/>
          <w:sz w:val="21"/>
          <w:szCs w:val="21"/>
          <w:highlight w:val="none"/>
          <w:lang w:val="en-US" w:eastAsia="zh-CN"/>
        </w:rPr>
        <w:t>or FG 24-</w:t>
      </w:r>
      <w:r>
        <w:rPr>
          <w:rFonts w:hint="eastAsia" w:cs="Times New Roman"/>
          <w:b w:val="0"/>
          <w:bCs w:val="0"/>
          <w:color w:val="auto"/>
          <w:kern w:val="24"/>
          <w:sz w:val="21"/>
          <w:szCs w:val="21"/>
          <w:highlight w:val="none"/>
          <w:lang w:val="en-US" w:eastAsia="zh-CN"/>
        </w:rPr>
        <w:t>2</w:t>
      </w:r>
      <w:r>
        <w:rPr>
          <w:rFonts w:hint="default" w:cs="Times New Roman"/>
          <w:b w:val="0"/>
          <w:bCs w:val="0"/>
          <w:color w:val="auto"/>
          <w:kern w:val="24"/>
          <w:sz w:val="21"/>
          <w:szCs w:val="21"/>
          <w:highlight w:val="none"/>
          <w:lang w:val="en-US" w:eastAsia="zh-CN"/>
        </w:rPr>
        <w:t xml:space="preserve"> and FG24-</w:t>
      </w:r>
      <w:r>
        <w:rPr>
          <w:rFonts w:hint="eastAsia" w:cs="Times New Roman"/>
          <w:b w:val="0"/>
          <w:bCs w:val="0"/>
          <w:color w:val="auto"/>
          <w:kern w:val="24"/>
          <w:sz w:val="21"/>
          <w:szCs w:val="21"/>
          <w:highlight w:val="none"/>
          <w:lang w:val="en-US" w:eastAsia="zh-CN"/>
        </w:rPr>
        <w:t>3</w:t>
      </w:r>
      <w:r>
        <w:rPr>
          <w:rFonts w:hint="default" w:cs="Times New Roman"/>
          <w:b w:val="0"/>
          <w:bCs w:val="0"/>
          <w:color w:val="auto"/>
          <w:kern w:val="24"/>
          <w:sz w:val="21"/>
          <w:szCs w:val="21"/>
          <w:highlight w:val="none"/>
          <w:lang w:val="en-US" w:eastAsia="zh-CN"/>
        </w:rPr>
        <w:t xml:space="preserve">, </w:t>
      </w:r>
      <w:r>
        <w:rPr>
          <w:rFonts w:hint="eastAsia" w:cs="Times New Roman"/>
          <w:b w:val="0"/>
          <w:bCs w:val="0"/>
          <w:color w:val="auto"/>
          <w:kern w:val="24"/>
          <w:sz w:val="21"/>
          <w:szCs w:val="21"/>
          <w:highlight w:val="none"/>
          <w:lang w:val="en-US" w:eastAsia="zh-CN"/>
        </w:rPr>
        <w:t xml:space="preserve">we can observe from FG list that these two FGs are </w:t>
      </w:r>
      <w:r>
        <w:rPr>
          <w:rFonts w:hint="default" w:cs="Times New Roman"/>
          <w:b w:val="0"/>
          <w:bCs w:val="0"/>
          <w:color w:val="auto"/>
          <w:kern w:val="24"/>
          <w:sz w:val="21"/>
          <w:szCs w:val="21"/>
          <w:highlight w:val="none"/>
          <w:lang w:val="en-US" w:eastAsia="zh-CN"/>
        </w:rPr>
        <w:t xml:space="preserve">described as “N/A” in the column “Need for the gNB to know if the feature is supported”, while described as “optional with capability singalling” in the column “Mandatory/Optional”. </w:t>
      </w:r>
      <w:r>
        <w:rPr>
          <w:rFonts w:hint="eastAsia" w:cs="Times New Roman"/>
          <w:b w:val="0"/>
          <w:bCs w:val="0"/>
          <w:color w:val="auto"/>
          <w:kern w:val="24"/>
          <w:sz w:val="21"/>
          <w:szCs w:val="21"/>
          <w:highlight w:val="none"/>
          <w:lang w:val="en-US" w:eastAsia="zh-CN"/>
        </w:rPr>
        <w:t xml:space="preserve">It is unclear </w:t>
      </w:r>
      <w:r>
        <w:rPr>
          <w:rFonts w:hint="default" w:cs="Times New Roman"/>
          <w:b w:val="0"/>
          <w:bCs w:val="0"/>
          <w:color w:val="auto"/>
          <w:kern w:val="24"/>
          <w:sz w:val="21"/>
          <w:szCs w:val="21"/>
          <w:highlight w:val="none"/>
          <w:lang w:val="en-US" w:eastAsia="zh-CN"/>
        </w:rPr>
        <w:t>whether the corresponding capabilities should be signalled or not according to the current description</w:t>
      </w:r>
      <w:r>
        <w:rPr>
          <w:rFonts w:hint="eastAsia" w:cs="Times New Roman"/>
          <w:b w:val="0"/>
          <w:bCs w:val="0"/>
          <w:color w:val="auto"/>
          <w:kern w:val="24"/>
          <w:sz w:val="21"/>
          <w:szCs w:val="21"/>
          <w:highlight w:val="none"/>
          <w:lang w:val="en-US" w:eastAsia="zh-CN"/>
        </w:rPr>
        <w:t xml:space="preserve">. In our view, if the capability is allowed to be signalled, then gNB need to know if this feature/capability is supported. Correspondingly, </w:t>
      </w:r>
      <w:r>
        <w:rPr>
          <w:rFonts w:hint="default" w:cs="Times New Roman"/>
          <w:b w:val="0"/>
          <w:bCs w:val="0"/>
          <w:color w:val="auto"/>
          <w:kern w:val="24"/>
          <w:sz w:val="21"/>
          <w:szCs w:val="21"/>
          <w:highlight w:val="none"/>
          <w:lang w:val="en-US" w:eastAsia="zh-CN"/>
        </w:rPr>
        <w:t>“N/A” in the column “Need for the gNB to know if the feature is supported”</w:t>
      </w:r>
      <w:r>
        <w:rPr>
          <w:rFonts w:hint="eastAsia" w:cs="Times New Roman"/>
          <w:b w:val="0"/>
          <w:bCs w:val="0"/>
          <w:color w:val="auto"/>
          <w:kern w:val="24"/>
          <w:sz w:val="21"/>
          <w:szCs w:val="21"/>
          <w:highlight w:val="none"/>
          <w:lang w:val="en-US" w:eastAsia="zh-CN"/>
        </w:rPr>
        <w:t xml:space="preserve"> should be updated. However, during initial access, there is no UE capability. From this point of view, it would be better to update </w:t>
      </w:r>
      <w:r>
        <w:rPr>
          <w:rFonts w:hint="default" w:cs="Times New Roman"/>
          <w:b w:val="0"/>
          <w:bCs w:val="0"/>
          <w:color w:val="auto"/>
          <w:kern w:val="24"/>
          <w:sz w:val="21"/>
          <w:szCs w:val="21"/>
          <w:highlight w:val="none"/>
          <w:lang w:val="en-US" w:eastAsia="zh-CN"/>
        </w:rPr>
        <w:t xml:space="preserve">“optional with capability singalling” </w:t>
      </w:r>
      <w:r>
        <w:rPr>
          <w:rFonts w:hint="eastAsia" w:cs="Times New Roman"/>
          <w:b w:val="0"/>
          <w:bCs w:val="0"/>
          <w:color w:val="auto"/>
          <w:kern w:val="24"/>
          <w:sz w:val="21"/>
          <w:szCs w:val="21"/>
          <w:highlight w:val="none"/>
          <w:lang w:val="en-US" w:eastAsia="zh-CN"/>
        </w:rPr>
        <w:t xml:space="preserve">as </w:t>
      </w:r>
      <w:r>
        <w:rPr>
          <w:rFonts w:hint="default" w:cs="Times New Roman"/>
          <w:b w:val="0"/>
          <w:bCs w:val="0"/>
          <w:color w:val="auto"/>
          <w:kern w:val="24"/>
          <w:sz w:val="21"/>
          <w:szCs w:val="21"/>
          <w:highlight w:val="none"/>
          <w:lang w:val="en-US" w:eastAsia="zh-CN"/>
        </w:rPr>
        <w:t>“optional with</w:t>
      </w:r>
      <w:r>
        <w:rPr>
          <w:rFonts w:hint="eastAsia" w:cs="Times New Roman"/>
          <w:b w:val="0"/>
          <w:bCs w:val="0"/>
          <w:color w:val="auto"/>
          <w:kern w:val="24"/>
          <w:sz w:val="21"/>
          <w:szCs w:val="21"/>
          <w:highlight w:val="none"/>
          <w:lang w:val="en-US" w:eastAsia="zh-CN"/>
        </w:rPr>
        <w:t>out</w:t>
      </w:r>
      <w:r>
        <w:rPr>
          <w:rFonts w:hint="default" w:cs="Times New Roman"/>
          <w:b w:val="0"/>
          <w:bCs w:val="0"/>
          <w:color w:val="auto"/>
          <w:kern w:val="24"/>
          <w:sz w:val="21"/>
          <w:szCs w:val="21"/>
          <w:highlight w:val="none"/>
          <w:lang w:val="en-US" w:eastAsia="zh-CN"/>
        </w:rPr>
        <w:t xml:space="preserve"> capability singalling”</w:t>
      </w:r>
      <w:r>
        <w:rPr>
          <w:rFonts w:hint="eastAsia" w:cs="Times New Roman"/>
          <w:b w:val="0"/>
          <w:bCs w:val="0"/>
          <w:color w:val="auto"/>
          <w:kern w:val="24"/>
          <w:sz w:val="21"/>
          <w:szCs w:val="21"/>
          <w:highlight w:val="none"/>
          <w:lang w:val="en-US" w:eastAsia="zh-CN"/>
        </w:rPr>
        <w:t xml:space="preserve"> </w:t>
      </w:r>
      <w:r>
        <w:rPr>
          <w:rFonts w:hint="default" w:cs="Times New Roman"/>
          <w:b w:val="0"/>
          <w:bCs w:val="0"/>
          <w:color w:val="auto"/>
          <w:kern w:val="24"/>
          <w:sz w:val="21"/>
          <w:szCs w:val="21"/>
          <w:highlight w:val="none"/>
          <w:lang w:val="en-US" w:eastAsia="zh-CN"/>
        </w:rPr>
        <w:t>in the column “Mandatory/Optional”</w:t>
      </w:r>
      <w:r>
        <w:rPr>
          <w:rFonts w:hint="eastAsia" w:cs="Times New Roman"/>
          <w:b w:val="0"/>
          <w:bCs w:val="0"/>
          <w:color w:val="auto"/>
          <w:kern w:val="24"/>
          <w:sz w:val="21"/>
          <w:szCs w:val="21"/>
          <w:highlight w:val="none"/>
          <w:lang w:val="en-US" w:eastAsia="zh-CN"/>
        </w:rPr>
        <w:t xml:space="preserve"> and keep </w:t>
      </w:r>
      <w:r>
        <w:rPr>
          <w:rFonts w:hint="default" w:cs="Times New Roman"/>
          <w:b w:val="0"/>
          <w:bCs w:val="0"/>
          <w:color w:val="auto"/>
          <w:kern w:val="24"/>
          <w:sz w:val="21"/>
          <w:szCs w:val="21"/>
          <w:highlight w:val="none"/>
          <w:lang w:val="en-US" w:eastAsia="zh-CN"/>
        </w:rPr>
        <w:t>“</w:t>
      </w:r>
      <w:r>
        <w:rPr>
          <w:rFonts w:hint="eastAsia" w:cs="Times New Roman"/>
          <w:b w:val="0"/>
          <w:bCs w:val="0"/>
          <w:color w:val="auto"/>
          <w:kern w:val="24"/>
          <w:sz w:val="21"/>
          <w:szCs w:val="21"/>
          <w:highlight w:val="none"/>
          <w:lang w:val="en-US" w:eastAsia="zh-CN"/>
        </w:rPr>
        <w:t>N/A</w:t>
      </w:r>
      <w:r>
        <w:rPr>
          <w:rFonts w:hint="default" w:cs="Times New Roman"/>
          <w:b w:val="0"/>
          <w:bCs w:val="0"/>
          <w:color w:val="auto"/>
          <w:kern w:val="24"/>
          <w:sz w:val="21"/>
          <w:szCs w:val="21"/>
          <w:highlight w:val="none"/>
          <w:lang w:val="en-US" w:eastAsia="zh-CN"/>
        </w:rPr>
        <w:t>”</w:t>
      </w:r>
      <w:r>
        <w:rPr>
          <w:rFonts w:hint="eastAsia" w:cs="Times New Roman"/>
          <w:b w:val="0"/>
          <w:bCs w:val="0"/>
          <w:color w:val="auto"/>
          <w:kern w:val="24"/>
          <w:sz w:val="21"/>
          <w:szCs w:val="21"/>
          <w:highlight w:val="none"/>
          <w:lang w:val="en-US" w:eastAsia="zh-CN"/>
        </w:rPr>
        <w:t xml:space="preserve"> in </w:t>
      </w:r>
      <w:r>
        <w:rPr>
          <w:rFonts w:hint="default" w:cs="Times New Roman"/>
          <w:b w:val="0"/>
          <w:bCs w:val="0"/>
          <w:color w:val="auto"/>
          <w:kern w:val="24"/>
          <w:sz w:val="21"/>
          <w:szCs w:val="21"/>
          <w:highlight w:val="none"/>
          <w:lang w:val="en-US" w:eastAsia="zh-CN"/>
        </w:rPr>
        <w:t>“N/A” in the column “Need for the gNB to know if the feature is supported”</w:t>
      </w:r>
      <w:r>
        <w:rPr>
          <w:rFonts w:hint="eastAsia" w:cs="Times New Roman"/>
          <w:b w:val="0"/>
          <w:bCs w:val="0"/>
          <w:color w:val="auto"/>
          <w:kern w:val="24"/>
          <w:sz w:val="21"/>
          <w:szCs w:val="21"/>
          <w:highlight w:val="none"/>
          <w:lang w:val="en-US" w:eastAsia="zh-CN"/>
        </w:rPr>
        <w:t xml:space="preserve">. </w:t>
      </w:r>
    </w:p>
    <w:p>
      <w:pPr>
        <w:spacing w:before="120" w:after="180"/>
        <w:jc w:val="both"/>
        <w:rPr>
          <w:rFonts w:hint="default" w:cs="Times New Roman"/>
          <w:b w:val="0"/>
          <w:bCs w:val="0"/>
          <w:color w:val="auto"/>
          <w:kern w:val="24"/>
          <w:sz w:val="21"/>
          <w:szCs w:val="21"/>
          <w:highlight w:val="none"/>
          <w:lang w:val="en-US" w:eastAsia="zh-CN"/>
        </w:rPr>
      </w:pPr>
      <w:r>
        <w:rPr>
          <w:rFonts w:hint="eastAsia" w:cs="Times New Roman"/>
          <w:b w:val="0"/>
          <w:bCs w:val="0"/>
          <w:color w:val="auto"/>
          <w:kern w:val="24"/>
          <w:sz w:val="21"/>
          <w:szCs w:val="21"/>
          <w:highlight w:val="none"/>
          <w:lang w:val="en-US" w:eastAsia="zh-CN"/>
        </w:rPr>
        <w:t xml:space="preserve">If the above mentioned issue cannot be handled in RAN1, it can be handed over to RAN2 for decision whether </w:t>
      </w:r>
      <w:r>
        <w:rPr>
          <w:rFonts w:hint="default" w:cs="Times New Roman"/>
          <w:b w:val="0"/>
          <w:bCs w:val="0"/>
          <w:color w:val="auto"/>
          <w:kern w:val="24"/>
          <w:sz w:val="21"/>
          <w:szCs w:val="21"/>
          <w:highlight w:val="none"/>
          <w:lang w:val="en-US" w:eastAsia="zh-CN"/>
        </w:rPr>
        <w:t>“N/A” in the column “Need for the gNB to know if the feature is supported”</w:t>
      </w:r>
      <w:r>
        <w:rPr>
          <w:rFonts w:hint="eastAsia" w:cs="Times New Roman"/>
          <w:b w:val="0"/>
          <w:bCs w:val="0"/>
          <w:color w:val="auto"/>
          <w:kern w:val="24"/>
          <w:sz w:val="21"/>
          <w:szCs w:val="21"/>
          <w:highlight w:val="none"/>
          <w:lang w:val="en-US" w:eastAsia="zh-CN"/>
        </w:rPr>
        <w:t xml:space="preserve"> need to be updated or </w:t>
      </w:r>
      <w:r>
        <w:rPr>
          <w:rFonts w:hint="default" w:cs="Times New Roman"/>
          <w:b w:val="0"/>
          <w:bCs w:val="0"/>
          <w:color w:val="auto"/>
          <w:kern w:val="24"/>
          <w:sz w:val="21"/>
          <w:szCs w:val="21"/>
          <w:highlight w:val="none"/>
          <w:lang w:val="en-US" w:eastAsia="zh-CN"/>
        </w:rPr>
        <w:t>“optional with capability singalling” in the column “Mandatory/Optional”</w:t>
      </w:r>
      <w:r>
        <w:rPr>
          <w:rFonts w:hint="eastAsia" w:cs="Times New Roman"/>
          <w:b w:val="0"/>
          <w:bCs w:val="0"/>
          <w:color w:val="auto"/>
          <w:kern w:val="24"/>
          <w:sz w:val="21"/>
          <w:szCs w:val="21"/>
          <w:highlight w:val="none"/>
          <w:lang w:val="en-US" w:eastAsia="zh-CN"/>
        </w:rPr>
        <w:t xml:space="preserve"> need to be updated as </w:t>
      </w:r>
      <w:r>
        <w:rPr>
          <w:rFonts w:hint="default" w:cs="Times New Roman"/>
          <w:b w:val="0"/>
          <w:bCs w:val="0"/>
          <w:color w:val="auto"/>
          <w:kern w:val="24"/>
          <w:sz w:val="21"/>
          <w:szCs w:val="21"/>
          <w:highlight w:val="none"/>
          <w:lang w:val="en-US" w:eastAsia="zh-CN"/>
        </w:rPr>
        <w:t>“optional with</w:t>
      </w:r>
      <w:r>
        <w:rPr>
          <w:rFonts w:hint="eastAsia" w:cs="Times New Roman"/>
          <w:b w:val="0"/>
          <w:bCs w:val="0"/>
          <w:color w:val="auto"/>
          <w:kern w:val="24"/>
          <w:sz w:val="21"/>
          <w:szCs w:val="21"/>
          <w:highlight w:val="none"/>
          <w:lang w:val="en-US" w:eastAsia="zh-CN"/>
        </w:rPr>
        <w:t>out</w:t>
      </w:r>
      <w:r>
        <w:rPr>
          <w:rFonts w:hint="default" w:cs="Times New Roman"/>
          <w:b w:val="0"/>
          <w:bCs w:val="0"/>
          <w:color w:val="auto"/>
          <w:kern w:val="24"/>
          <w:sz w:val="21"/>
          <w:szCs w:val="21"/>
          <w:highlight w:val="none"/>
          <w:lang w:val="en-US" w:eastAsia="zh-CN"/>
        </w:rPr>
        <w:t xml:space="preserve"> capability singalling”</w:t>
      </w:r>
      <w:r>
        <w:rPr>
          <w:rFonts w:hint="eastAsia" w:cs="Times New Roman"/>
          <w:b w:val="0"/>
          <w:bCs w:val="0"/>
          <w:color w:val="auto"/>
          <w:kern w:val="24"/>
          <w:sz w:val="21"/>
          <w:szCs w:val="21"/>
          <w:highlight w:val="none"/>
          <w:lang w:val="en-US" w:eastAsia="zh-CN"/>
        </w:rPr>
        <w:t>.</w:t>
      </w:r>
    </w:p>
    <w:p>
      <w:pPr>
        <w:spacing w:before="137" w:beforeLines="50"/>
        <w:rPr>
          <w:rFonts w:hint="eastAsia"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2</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Clarify whether the capability corresponding to FG 24-2 and FG 24-3 should be signalled to gNB from RAN1 point of view, or this issue is left to RAN2 for decision.</w:t>
      </w:r>
    </w:p>
    <w:p>
      <w:pPr>
        <w:pStyle w:val="4"/>
        <w:bidi w:val="0"/>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 FG 24-4 and FG 24-5</w:t>
      </w:r>
    </w:p>
    <w:p>
      <w:pPr>
        <w:spacing w:before="120" w:after="180"/>
        <w:jc w:val="both"/>
        <w:rPr>
          <w:rFonts w:hint="default" w:ascii="Times New Roman" w:hAnsi="Times New Roman" w:cs="Times New Roman"/>
          <w:b w:val="0"/>
          <w:bCs w:val="0"/>
          <w:color w:val="auto"/>
          <w:kern w:val="24"/>
          <w:sz w:val="21"/>
          <w:szCs w:val="21"/>
          <w:highlight w:val="none"/>
          <w:lang w:val="en-US" w:eastAsia="zh-CN"/>
        </w:rPr>
      </w:pPr>
      <w:r>
        <w:rPr>
          <w:rFonts w:hint="eastAsia" w:ascii="Times New Roman" w:hAnsi="Times New Roman" w:cs="Times New Roman"/>
          <w:b w:val="0"/>
          <w:bCs w:val="0"/>
          <w:color w:val="auto"/>
          <w:kern w:val="24"/>
          <w:sz w:val="21"/>
          <w:szCs w:val="21"/>
          <w:highlight w:val="none"/>
          <w:lang w:val="en-US" w:eastAsia="zh-CN"/>
        </w:rPr>
        <w:t>In RAN1#107bis e-meeting, monitoring capability within slots of Group (2) SSs (type 1 CSS without dedicated RRC configuration and type0, 0A, and 2 CSS) was specified. The following agreement was made:</w:t>
      </w:r>
    </w:p>
    <w:p>
      <w:pPr>
        <w:spacing w:after="0" w:line="260" w:lineRule="auto"/>
        <w:rPr>
          <w:rFonts w:ascii="Times" w:hAnsi="Times" w:eastAsia="바탕" w:cs="Times New Roman"/>
          <w:b/>
          <w:szCs w:val="24"/>
        </w:rPr>
      </w:pPr>
      <w:r>
        <w:rPr>
          <w:rFonts w:ascii="Times" w:hAnsi="Times" w:eastAsia="바탕" w:cs="Times New Roman"/>
          <w:b/>
          <w:szCs w:val="24"/>
          <w:highlight w:val="green"/>
        </w:rPr>
        <w:t>Agreement</w:t>
      </w:r>
    </w:p>
    <w:p>
      <w:pPr>
        <w:spacing w:after="0" w:line="260" w:lineRule="auto"/>
        <w:rPr>
          <w:rFonts w:ascii="Times" w:hAnsi="Times" w:eastAsia="바탕" w:cs="Times New Roman"/>
          <w:szCs w:val="24"/>
          <w:lang w:val="en-US"/>
        </w:rPr>
      </w:pPr>
      <w:r>
        <w:rPr>
          <w:rFonts w:ascii="Times" w:hAnsi="Times" w:eastAsia="바탕" w:cs="Times New Roman"/>
          <w:szCs w:val="24"/>
          <w:lang w:val="en-US"/>
        </w:rPr>
        <w:t>Clarify earlier agreement as follows:</w:t>
      </w:r>
    </w:p>
    <w:p>
      <w:pPr>
        <w:numPr>
          <w:ilvl w:val="0"/>
          <w:numId w:val="9"/>
        </w:numPr>
        <w:overflowPunct w:val="0"/>
        <w:autoSpaceDE w:val="0"/>
        <w:autoSpaceDN w:val="0"/>
        <w:spacing w:after="0" w:line="260" w:lineRule="auto"/>
        <w:ind w:left="773" w:hanging="360"/>
        <w:jc w:val="both"/>
        <w:rPr>
          <w:rFonts w:ascii="Times" w:hAnsi="Times" w:eastAsia="바탕" w:cs="Times New Roman"/>
          <w:szCs w:val="24"/>
          <w:lang w:val="en-US"/>
        </w:rPr>
      </w:pPr>
      <w:r>
        <w:rPr>
          <w:rFonts w:ascii="Times" w:hAnsi="Times" w:eastAsia="바탕" w:cs="Times New Roman"/>
          <w:szCs w:val="24"/>
          <w:lang w:val="en-US"/>
        </w:rPr>
        <w:t>A UE capable of multi-slot monitoring mandatorily supports monitoring Group (2) SSs according to FG 3-1 within each of the Xs slots of a slot-group, such that:</w:t>
      </w:r>
    </w:p>
    <w:p>
      <w:pPr>
        <w:numPr>
          <w:ilvl w:val="1"/>
          <w:numId w:val="9"/>
        </w:numPr>
        <w:overflowPunct w:val="0"/>
        <w:autoSpaceDE w:val="0"/>
        <w:autoSpaceDN w:val="0"/>
        <w:spacing w:after="0" w:line="260" w:lineRule="auto"/>
        <w:ind w:left="1493" w:hanging="360"/>
        <w:jc w:val="both"/>
        <w:rPr>
          <w:rFonts w:ascii="Times" w:hAnsi="Times" w:eastAsia="바탕" w:cs="Times New Roman"/>
          <w:szCs w:val="24"/>
          <w:lang w:val="en-US"/>
        </w:rPr>
      </w:pPr>
      <w:r>
        <w:rPr>
          <w:rFonts w:ascii="Times" w:hAnsi="Times" w:eastAsia="바탕" w:cs="Times New Roman"/>
          <w:szCs w:val="24"/>
          <w:lang w:val="en-US"/>
        </w:rPr>
        <w:t>For type 1 CSS without dedicated RRC configuration and for type 0, 0A, and 2 CSS, the monitoring occasion can be any OFDM symbol(s) of each slot, with the monitoring occasions for any of Type 1- CSS without dedicated RRC configuration, or Types 0, 0A, or 2 CSS configurations within a single span of three consecutive OFDM symbols within each slot of the slot group.</w:t>
      </w:r>
    </w:p>
    <w:p>
      <w:pPr>
        <w:keepNext w:val="0"/>
        <w:keepLines w:val="0"/>
        <w:pageBreakBefore w:val="0"/>
        <w:widowControl/>
        <w:numPr>
          <w:ilvl w:val="0"/>
          <w:numId w:val="9"/>
        </w:numPr>
        <w:kinsoku/>
        <w:wordWrap/>
        <w:overflowPunct w:val="0"/>
        <w:topLinePunct w:val="0"/>
        <w:autoSpaceDE w:val="0"/>
        <w:autoSpaceDN w:val="0"/>
        <w:bidi w:val="0"/>
        <w:adjustRightInd w:val="0"/>
        <w:snapToGrid/>
        <w:spacing w:after="120" w:line="260" w:lineRule="auto"/>
        <w:ind w:left="777" w:hanging="363"/>
        <w:jc w:val="both"/>
        <w:textAlignment w:val="baseline"/>
        <w:rPr>
          <w:rFonts w:ascii="Times" w:hAnsi="Times" w:eastAsia="바탕" w:cs="Times New Roman"/>
          <w:szCs w:val="24"/>
          <w:lang w:val="en-US"/>
        </w:rPr>
      </w:pPr>
      <w:r>
        <w:rPr>
          <w:rFonts w:ascii="Times" w:hAnsi="Times" w:eastAsia="바탕" w:cs="Times New Roman"/>
          <w:szCs w:val="24"/>
          <w:lang w:val="en-US"/>
        </w:rPr>
        <w:t>Continue discussion on whether or not introducing other limitation for Group (2) SSs in RAN1#108-e.</w:t>
      </w:r>
    </w:p>
    <w:p>
      <w:pPr>
        <w:spacing w:before="120" w:after="180"/>
        <w:jc w:val="both"/>
        <w:rPr>
          <w:rFonts w:hint="eastAsia" w:ascii="Times New Roman" w:hAnsi="Times New Roman" w:cs="Times New Roman"/>
          <w:b w:val="0"/>
          <w:bCs w:val="0"/>
          <w:color w:val="auto"/>
          <w:kern w:val="24"/>
          <w:sz w:val="21"/>
          <w:szCs w:val="21"/>
          <w:highlight w:val="none"/>
          <w:lang w:val="en-US" w:eastAsia="zh-CN"/>
        </w:rPr>
      </w:pPr>
      <w:r>
        <w:rPr>
          <w:rFonts w:hint="eastAsia" w:ascii="Times New Roman" w:hAnsi="Times New Roman" w:cs="Times New Roman"/>
          <w:b w:val="0"/>
          <w:bCs w:val="0"/>
          <w:color w:val="auto"/>
          <w:kern w:val="24"/>
          <w:sz w:val="21"/>
          <w:szCs w:val="21"/>
          <w:highlight w:val="none"/>
          <w:lang w:val="en-US" w:eastAsia="zh-CN"/>
        </w:rPr>
        <w:t xml:space="preserve">Therefore, we suggest to confirm the yellow highlighting part and remove its bracket for FG 24-4 and FG 24-5 based on the agreement made so far. As we elaborate in the Tdoc of AI 8.2.2, </w:t>
      </w:r>
      <w:r>
        <w:rPr>
          <w:rFonts w:hint="default" w:ascii="Times New Roman" w:hAnsi="Times New Roman" w:cs="Times New Roman"/>
          <w:b w:val="0"/>
          <w:bCs w:val="0"/>
          <w:color w:val="auto"/>
          <w:kern w:val="24"/>
          <w:sz w:val="21"/>
          <w:szCs w:val="21"/>
          <w:highlight w:val="none"/>
          <w:lang w:val="en-US" w:eastAsia="zh-CN"/>
        </w:rPr>
        <w:t>Group (2) SSs monitoring locations can be anywhere within a slot group of X slots</w:t>
      </w:r>
      <w:r>
        <w:rPr>
          <w:rFonts w:hint="eastAsia" w:ascii="Times New Roman" w:hAnsi="Times New Roman" w:cs="Times New Roman"/>
          <w:b w:val="0"/>
          <w:bCs w:val="0"/>
          <w:color w:val="auto"/>
          <w:kern w:val="24"/>
          <w:sz w:val="21"/>
          <w:szCs w:val="21"/>
          <w:highlight w:val="none"/>
          <w:lang w:val="en-US" w:eastAsia="zh-CN"/>
        </w:rPr>
        <w:t xml:space="preserve"> similar as in Rel-15/16 and </w:t>
      </w:r>
      <w:r>
        <w:rPr>
          <w:rFonts w:hint="default" w:ascii="Times New Roman" w:hAnsi="Times New Roman" w:cs="Times New Roman"/>
          <w:b w:val="0"/>
          <w:bCs w:val="0"/>
          <w:color w:val="auto"/>
          <w:kern w:val="24"/>
          <w:sz w:val="21"/>
          <w:szCs w:val="21"/>
          <w:highlight w:val="none"/>
          <w:lang w:val="en-US" w:eastAsia="zh-CN"/>
        </w:rPr>
        <w:t>we don’t expect other restrictions for Group (2) SSs.</w:t>
      </w:r>
      <w:r>
        <w:rPr>
          <w:rFonts w:hint="eastAsia" w:ascii="Times New Roman" w:hAnsi="Times New Roman" w:cs="Times New Roman"/>
          <w:b w:val="0"/>
          <w:bCs w:val="0"/>
          <w:color w:val="auto"/>
          <w:kern w:val="24"/>
          <w:sz w:val="21"/>
          <w:szCs w:val="21"/>
          <w:highlight w:val="none"/>
          <w:lang w:val="en-US" w:eastAsia="zh-CN"/>
        </w:rPr>
        <w:t xml:space="preserve"> If other limitation for Group (2) SSs which we do not prefer to is intrduced, we can futher update the table.</w:t>
      </w:r>
    </w:p>
    <w:p>
      <w:pPr>
        <w:rPr>
          <w:rFonts w:hint="default"/>
          <w:b w:val="0"/>
          <w:bCs w:val="0"/>
          <w:sz w:val="21"/>
          <w:szCs w:val="21"/>
          <w:lang w:val="en-US" w:eastAsia="zh-CN"/>
        </w:rPr>
      </w:pPr>
      <w:r>
        <w:rPr>
          <w:rFonts w:hint="eastAsia"/>
          <w:b/>
          <w:bCs/>
          <w:sz w:val="21"/>
          <w:szCs w:val="21"/>
          <w:lang w:val="en-US" w:eastAsia="zh-CN"/>
        </w:rPr>
        <w:t xml:space="preserve">Proposal 3: Confirm the </w:t>
      </w:r>
      <w:r>
        <w:rPr>
          <w:rFonts w:hint="eastAsia"/>
          <w:b/>
          <w:bCs/>
          <w:lang w:val="en-US" w:eastAsia="zh-CN"/>
        </w:rPr>
        <w:t>yellow highlighting part and remove the bracket for FG 24-4 and FG 24-5:</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9"/>
        <w:gridCol w:w="781"/>
        <w:gridCol w:w="2363"/>
        <w:gridCol w:w="419"/>
        <w:gridCol w:w="450"/>
        <w:gridCol w:w="475"/>
        <w:gridCol w:w="905"/>
        <w:gridCol w:w="710"/>
        <w:gridCol w:w="475"/>
        <w:gridCol w:w="475"/>
        <w:gridCol w:w="475"/>
        <w:gridCol w:w="103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lang w:eastAsia="ja-JP"/>
              </w:rPr>
              <w:t>24-4</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480KHz SCS support for DL</w:t>
            </w:r>
          </w:p>
        </w:tc>
        <w:tc>
          <w:tcPr>
            <w:tcW w:w="0" w:type="auto"/>
            <w:shd w:val="clear" w:color="auto" w:fill="auto"/>
          </w:tcPr>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1. 480KHz SCS for DL data and control channels, SSB, and reference signal reception in FR2-2 for non-initial access</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2. Multiple-slot PDCCH monitoring for 480KHz with (Xs,Ys) = (4,1)</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strike/>
                <w:color w:val="auto"/>
                <w:sz w:val="15"/>
                <w:szCs w:val="15"/>
              </w:rPr>
              <w:t>FFS:</w:t>
            </w:r>
            <w:r>
              <w:rPr>
                <w:rFonts w:hint="default" w:ascii="Times New Roman" w:hAnsi="Times New Roman" w:cs="Times New Roman"/>
                <w:color w:val="auto"/>
                <w:sz w:val="15"/>
                <w:szCs w:val="15"/>
              </w:rPr>
              <w:t xml:space="preserve"> 3. Multi-PDSCH scheduling by single DCI for the operation with 480 kHz SCS and corresponding HARQ enhancements</w:t>
            </w:r>
          </w:p>
          <w:p>
            <w:pPr>
              <w:autoSpaceDE w:val="0"/>
              <w:autoSpaceDN w:val="0"/>
              <w:adjustRightInd w:val="0"/>
              <w:snapToGrid w:val="0"/>
              <w:contextualSpacing/>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 xml:space="preserve">4. Within the Ys = 1 slot (with Xs=4), monitoring of type 1 CSS with dedicated RRC configuration, type 3 CSS, and UE-SS with a maximum of two monitoring spans per slot with a span duration of Y symbols and a minimum gap of X symbols between the start of two spans, where </w:t>
            </w:r>
            <w:r>
              <w:rPr>
                <w:rFonts w:hint="default" w:ascii="Times New Roman" w:hAnsi="Times New Roman" w:cs="Times New Roman"/>
                <w:strike/>
                <w:color w:val="auto"/>
                <w:sz w:val="15"/>
                <w:szCs w:val="15"/>
              </w:rPr>
              <w:t>set2</w:t>
            </w:r>
            <w:r>
              <w:rPr>
                <w:rFonts w:hint="default" w:ascii="Times New Roman" w:hAnsi="Times New Roman" w:cs="Times New Roman"/>
                <w:color w:val="auto"/>
                <w:sz w:val="15"/>
                <w:szCs w:val="15"/>
              </w:rPr>
              <w:t xml:space="preserve"> (X,Y) = (4, 3) and (7, 3) are supported </w:t>
            </w:r>
            <w:r>
              <w:rPr>
                <w:rFonts w:hint="default" w:ascii="Times New Roman" w:hAnsi="Times New Roman" w:cs="Times New Roman"/>
                <w:strike/>
                <w:color w:val="auto"/>
                <w:sz w:val="15"/>
                <w:szCs w:val="15"/>
              </w:rPr>
              <w:t>symbols where set2 is defined in FG3-5b (FFS: Monitoring capability within slots of type 1 CSS without dedicated RRC configuration and type0, 0A, and 2 CSS)</w:t>
            </w:r>
            <w:r>
              <w:rPr>
                <w:rFonts w:hint="default" w:ascii="Times New Roman" w:hAnsi="Times New Roman" w:cs="Times New Roman"/>
                <w:color w:val="auto"/>
                <w:sz w:val="15"/>
                <w:szCs w:val="15"/>
              </w:rPr>
              <w:t xml:space="preserve"> </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 xml:space="preserve">5. Processing one unicast DCI scheduling DL and one unicast DCI scheduling UL per slot group of Xs slots per scheduled CC for FDD </w:t>
            </w:r>
            <w:r>
              <w:rPr>
                <w:rFonts w:hint="default" w:ascii="Times New Roman" w:hAnsi="Times New Roman" w:cs="Times New Roman"/>
                <w:strike/>
                <w:color w:val="auto"/>
                <w:sz w:val="15"/>
                <w:szCs w:val="15"/>
              </w:rPr>
              <w:t>(This supersedes corresponding component of FG 3-5b)</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 xml:space="preserve">6. Processing one unicast DCI scheduling DL and 2 unicast DCI scheduling UL per slot group of Xs slots per scheduled CC for TDD </w:t>
            </w:r>
            <w:r>
              <w:rPr>
                <w:rFonts w:hint="default" w:ascii="Times New Roman" w:hAnsi="Times New Roman" w:cs="Times New Roman"/>
                <w:strike/>
                <w:color w:val="auto"/>
                <w:sz w:val="15"/>
                <w:szCs w:val="15"/>
              </w:rPr>
              <w:t>(This supersedes corresponding component of FG 3-5b)</w:t>
            </w:r>
            <w:r>
              <w:rPr>
                <w:rFonts w:hint="default" w:ascii="Times New Roman" w:hAnsi="Times New Roman" w:cs="Times New Roman"/>
                <w:color w:val="auto"/>
                <w:sz w:val="15"/>
                <w:szCs w:val="15"/>
              </w:rPr>
              <w:t xml:space="preserve">   </w:t>
            </w:r>
          </w:p>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strike/>
                <w:dstrike w:val="0"/>
                <w:color w:val="C00000"/>
                <w:sz w:val="15"/>
                <w:szCs w:val="15"/>
                <w:highlight w:val="yellow"/>
              </w:rPr>
              <w:t>[</w:t>
            </w:r>
            <w:r>
              <w:rPr>
                <w:rFonts w:hint="default" w:ascii="Times New Roman" w:hAnsi="Times New Roman" w:cs="Times New Roman"/>
                <w:color w:val="C00000"/>
                <w:sz w:val="15"/>
                <w:szCs w:val="15"/>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r>
              <w:rPr>
                <w:rFonts w:hint="default" w:ascii="Times New Roman" w:hAnsi="Times New Roman" w:cs="Times New Roman"/>
                <w:strike/>
                <w:dstrike w:val="0"/>
                <w:color w:val="C00000"/>
                <w:sz w:val="15"/>
                <w:szCs w:val="15"/>
                <w:highlight w:val="yellow"/>
              </w:rPr>
              <w:t>]</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24-1</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Yes</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480KHz SCS for DL is not supported</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Per band</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strike/>
                <w:color w:val="auto"/>
                <w:sz w:val="15"/>
                <w:szCs w:val="15"/>
              </w:rPr>
              <w:t>FFS: component description without a reference to other R15 FGs</w:t>
            </w:r>
          </w:p>
        </w:tc>
        <w:tc>
          <w:tcPr>
            <w:tcW w:w="0" w:type="auto"/>
            <w:shd w:val="clear" w:color="auto" w:fill="auto"/>
          </w:tcPr>
          <w:p>
            <w:pPr>
              <w:pStyle w:val="65"/>
              <w:rPr>
                <w:rFonts w:hint="default" w:ascii="Times New Roman" w:hAnsi="Times New Roman" w:cs="Times New Roman"/>
                <w:color w:val="auto"/>
                <w:sz w:val="15"/>
                <w:szCs w:val="15"/>
              </w:rPr>
            </w:pPr>
            <w:r>
              <w:rPr>
                <w:rFonts w:hint="default" w:ascii="Times New Roman" w:hAnsi="Times New Roman" w:cs="Times New Roman"/>
                <w:color w:val="auto"/>
                <w:sz w:val="15"/>
                <w:szCs w:val="15"/>
              </w:rPr>
              <w:t>Optional with capability signalling</w:t>
            </w:r>
          </w:p>
          <w:p>
            <w:pPr>
              <w:pStyle w:val="162"/>
              <w:ind w:firstLine="0" w:firstLineChars="0"/>
              <w:jc w:val="left"/>
              <w:rPr>
                <w:rFonts w:hint="default" w:ascii="Times New Roman" w:hAnsi="Times New Roman"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162"/>
              <w:ind w:firstLine="0" w:firstLineChars="0"/>
              <w:jc w:val="left"/>
              <w:rPr>
                <w:rFonts w:hint="default" w:ascii="Times New Roman" w:hAnsi="Times New Roman" w:cs="Times New Roman"/>
                <w:color w:val="auto"/>
                <w:sz w:val="15"/>
                <w:szCs w:val="15"/>
                <w:lang w:eastAsia="ja-JP"/>
              </w:rPr>
            </w:pPr>
            <w:r>
              <w:rPr>
                <w:rFonts w:hint="default" w:ascii="Times New Roman" w:hAnsi="Times New Roman" w:cs="Times New Roman"/>
                <w:color w:val="auto"/>
                <w:sz w:val="15"/>
                <w:szCs w:val="15"/>
                <w:lang w:eastAsia="ja-JP"/>
              </w:rPr>
              <w:t>24-5</w:t>
            </w:r>
          </w:p>
        </w:tc>
        <w:tc>
          <w:tcPr>
            <w:tcW w:w="0" w:type="auto"/>
            <w:shd w:val="clear" w:color="auto" w:fill="auto"/>
          </w:tcPr>
          <w:p>
            <w:pPr>
              <w:pStyle w:val="162"/>
              <w:ind w:firstLine="0" w:firstLineChars="0"/>
              <w:jc w:val="left"/>
              <w:rPr>
                <w:rFonts w:hint="default" w:ascii="Times New Roman" w:hAnsi="Times New Roman" w:eastAsia="宋体" w:cs="Times New Roman"/>
                <w:color w:val="auto"/>
                <w:sz w:val="15"/>
                <w:szCs w:val="15"/>
                <w:lang w:eastAsia="zh-CN"/>
              </w:rPr>
            </w:pPr>
            <w:r>
              <w:rPr>
                <w:rFonts w:hint="default" w:ascii="Times New Roman" w:hAnsi="Times New Roman" w:eastAsia="宋体" w:cs="Times New Roman"/>
                <w:color w:val="auto"/>
                <w:sz w:val="15"/>
                <w:szCs w:val="15"/>
                <w:lang w:eastAsia="zh-CN"/>
              </w:rPr>
              <w:t>960KHz SCS support for DL</w:t>
            </w:r>
          </w:p>
        </w:tc>
        <w:tc>
          <w:tcPr>
            <w:tcW w:w="0" w:type="auto"/>
            <w:shd w:val="clear" w:color="auto" w:fill="auto"/>
          </w:tcPr>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1. 960KHz SCS for DL data and control channels, SSB, and reference signal reception in FR2-2 for non-initial access</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2. Multiple-slot PDCCH monitoring for 960KHz with (Xs,Ys)=(8,1)</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strike/>
                <w:color w:val="auto"/>
                <w:sz w:val="15"/>
                <w:szCs w:val="15"/>
              </w:rPr>
              <w:t>FFS:</w:t>
            </w:r>
            <w:r>
              <w:rPr>
                <w:rFonts w:hint="default" w:ascii="Times New Roman" w:hAnsi="Times New Roman" w:cs="Times New Roman"/>
                <w:color w:val="auto"/>
                <w:sz w:val="15"/>
                <w:szCs w:val="15"/>
              </w:rPr>
              <w:t xml:space="preserve"> 3. Multi-PDSCH scheduling by single DCI for the operation with 960 kHz SCS and corresponding HARQ enhancements</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4</w:t>
            </w:r>
            <w:r>
              <w:rPr>
                <w:rFonts w:hint="default" w:ascii="Times New Roman" w:hAnsi="Times New Roman" w:cs="Times New Roman"/>
                <w:strike/>
                <w:color w:val="auto"/>
                <w:sz w:val="15"/>
                <w:szCs w:val="15"/>
              </w:rPr>
              <w:t>3</w:t>
            </w:r>
            <w:r>
              <w:rPr>
                <w:rFonts w:hint="default" w:ascii="Times New Roman" w:hAnsi="Times New Roman" w:cs="Times New Roman"/>
                <w:color w:val="auto"/>
                <w:sz w:val="15"/>
                <w:szCs w:val="15"/>
              </w:rPr>
              <w:t xml:space="preserve">. Within the Ys = 1 slot (with Xs=8), monitoring of type 1 CSS with dedicated RRC configuration, type 3 CSS, and UE-SS with a span duration of Y symbols and a minimum gap of X symbols between the start of two spans, where (X,Y) </w:t>
            </w:r>
            <w:r>
              <w:rPr>
                <w:rFonts w:hint="default" w:ascii="Times New Roman" w:hAnsi="Times New Roman" w:cs="Times New Roman"/>
                <w:strike/>
                <w:color w:val="auto"/>
                <w:sz w:val="15"/>
                <w:szCs w:val="15"/>
              </w:rPr>
              <w:t>set1</w:t>
            </w:r>
            <w:r>
              <w:rPr>
                <w:rFonts w:hint="default" w:ascii="Times New Roman" w:hAnsi="Times New Roman" w:cs="Times New Roman"/>
                <w:color w:val="auto"/>
                <w:sz w:val="15"/>
                <w:szCs w:val="15"/>
              </w:rPr>
              <w:t xml:space="preserve"> = (7, 3) is supported </w:t>
            </w:r>
            <w:r>
              <w:rPr>
                <w:rFonts w:hint="default" w:ascii="Times New Roman" w:hAnsi="Times New Roman" w:cs="Times New Roman"/>
                <w:strike/>
                <w:color w:val="auto"/>
                <w:sz w:val="15"/>
                <w:szCs w:val="15"/>
              </w:rPr>
              <w:t>symbols where set1 is defined in FG3-5b (FFS: Monitoring capability within slots of type 1 CSS without dedicated RRC configuration and type0, 0A, and 2 CSS)</w:t>
            </w:r>
            <w:r>
              <w:rPr>
                <w:rFonts w:hint="default" w:ascii="Times New Roman" w:hAnsi="Times New Roman" w:cs="Times New Roman"/>
                <w:color w:val="auto"/>
                <w:sz w:val="15"/>
                <w:szCs w:val="15"/>
              </w:rPr>
              <w:t xml:space="preserve"> </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5</w:t>
            </w:r>
            <w:r>
              <w:rPr>
                <w:rFonts w:hint="default" w:ascii="Times New Roman" w:hAnsi="Times New Roman" w:cs="Times New Roman"/>
                <w:strike/>
                <w:color w:val="auto"/>
                <w:sz w:val="15"/>
                <w:szCs w:val="15"/>
              </w:rPr>
              <w:t>4</w:t>
            </w:r>
            <w:r>
              <w:rPr>
                <w:rFonts w:hint="default" w:ascii="Times New Roman" w:hAnsi="Times New Roman" w:cs="Times New Roman"/>
                <w:color w:val="auto"/>
                <w:sz w:val="15"/>
                <w:szCs w:val="15"/>
              </w:rPr>
              <w:t xml:space="preserve">. Processing one unicast DCI scheduling DL and one unicast DCI scheduling UL per slot group of Xs slots per scheduled CC for FDD </w:t>
            </w:r>
            <w:r>
              <w:rPr>
                <w:rFonts w:hint="default" w:ascii="Times New Roman" w:hAnsi="Times New Roman" w:cs="Times New Roman"/>
                <w:strike/>
                <w:color w:val="auto"/>
                <w:sz w:val="15"/>
                <w:szCs w:val="15"/>
              </w:rPr>
              <w:t>(This supersedes corresponding component of FG 3-5b)</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6</w:t>
            </w:r>
            <w:r>
              <w:rPr>
                <w:rFonts w:hint="default" w:ascii="Times New Roman" w:hAnsi="Times New Roman" w:cs="Times New Roman"/>
                <w:strike/>
                <w:color w:val="auto"/>
                <w:sz w:val="15"/>
                <w:szCs w:val="15"/>
              </w:rPr>
              <w:t>5</w:t>
            </w:r>
            <w:r>
              <w:rPr>
                <w:rFonts w:hint="default" w:ascii="Times New Roman" w:hAnsi="Times New Roman" w:cs="Times New Roman"/>
                <w:color w:val="auto"/>
                <w:sz w:val="15"/>
                <w:szCs w:val="15"/>
              </w:rPr>
              <w:t xml:space="preserve">. Processing one unicast DCI scheduling DL and 2 unicast DCI scheduling UL per slot group of Xs slots per scheduled CC for TDD </w:t>
            </w:r>
            <w:r>
              <w:rPr>
                <w:rFonts w:hint="default" w:ascii="Times New Roman" w:hAnsi="Times New Roman" w:cs="Times New Roman"/>
                <w:strike/>
                <w:color w:val="auto"/>
                <w:sz w:val="15"/>
                <w:szCs w:val="15"/>
              </w:rPr>
              <w:t>(This supersedes corresponding component of FG 3-5b)</w:t>
            </w:r>
          </w:p>
          <w:p>
            <w:pPr>
              <w:pStyle w:val="162"/>
              <w:ind w:firstLine="0" w:firstLineChars="0"/>
              <w:jc w:val="left"/>
              <w:rPr>
                <w:rFonts w:hint="default" w:ascii="Times New Roman" w:hAnsi="Times New Roman" w:cs="Times New Roman"/>
                <w:color w:val="auto"/>
                <w:sz w:val="15"/>
                <w:szCs w:val="15"/>
                <w:highlight w:val="yellow"/>
              </w:rPr>
            </w:pPr>
            <w:r>
              <w:rPr>
                <w:rFonts w:hint="default" w:ascii="Times New Roman" w:hAnsi="Times New Roman" w:cs="Times New Roman"/>
                <w:strike/>
                <w:dstrike w:val="0"/>
                <w:color w:val="C00000"/>
                <w:sz w:val="15"/>
                <w:szCs w:val="15"/>
                <w:highlight w:val="yellow"/>
              </w:rPr>
              <w:t>[</w:t>
            </w:r>
            <w:r>
              <w:rPr>
                <w:rFonts w:hint="default" w:ascii="Times New Roman" w:hAnsi="Times New Roman" w:cs="Times New Roman"/>
                <w:color w:val="C00000"/>
                <w:sz w:val="15"/>
                <w:szCs w:val="15"/>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r>
              <w:rPr>
                <w:rFonts w:hint="default" w:ascii="Times New Roman" w:hAnsi="Times New Roman" w:cs="Times New Roman"/>
                <w:strike/>
                <w:dstrike w:val="0"/>
                <w:color w:val="C00000"/>
                <w:sz w:val="15"/>
                <w:szCs w:val="15"/>
                <w:highlight w:val="yellow"/>
              </w:rPr>
              <w:t>]</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24-1</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Yes</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960KHz SCS support for DL is not supported</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Perband</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N/A</w:t>
            </w:r>
          </w:p>
        </w:tc>
        <w:tc>
          <w:tcPr>
            <w:tcW w:w="0" w:type="auto"/>
            <w:shd w:val="clear" w:color="auto" w:fill="auto"/>
          </w:tcPr>
          <w:p>
            <w:pPr>
              <w:pStyle w:val="162"/>
              <w:ind w:firstLine="0" w:firstLineChars="0"/>
              <w:jc w:val="left"/>
              <w:rPr>
                <w:rFonts w:hint="default" w:ascii="Times New Roman" w:hAnsi="Times New Roman" w:cs="Times New Roman"/>
                <w:strike/>
                <w:color w:val="auto"/>
                <w:sz w:val="15"/>
                <w:szCs w:val="15"/>
              </w:rPr>
            </w:pPr>
            <w:r>
              <w:rPr>
                <w:rFonts w:hint="default" w:ascii="Times New Roman" w:hAnsi="Times New Roman" w:cs="Times New Roman"/>
                <w:strike/>
                <w:color w:val="auto"/>
                <w:sz w:val="15"/>
                <w:szCs w:val="15"/>
              </w:rPr>
              <w:t>FFS: component description without a reference to other R15 FGs</w:t>
            </w:r>
          </w:p>
        </w:tc>
        <w:tc>
          <w:tcPr>
            <w:tcW w:w="0" w:type="auto"/>
            <w:shd w:val="clear" w:color="auto" w:fill="auto"/>
          </w:tcPr>
          <w:p>
            <w:pPr>
              <w:pStyle w:val="65"/>
              <w:rPr>
                <w:rFonts w:hint="default" w:ascii="Times New Roman" w:hAnsi="Times New Roman" w:cs="Times New Roman"/>
                <w:color w:val="auto"/>
                <w:sz w:val="15"/>
                <w:szCs w:val="15"/>
              </w:rPr>
            </w:pPr>
            <w:r>
              <w:rPr>
                <w:rFonts w:hint="default" w:ascii="Times New Roman" w:hAnsi="Times New Roman" w:cs="Times New Roman"/>
                <w:color w:val="auto"/>
                <w:sz w:val="15"/>
                <w:szCs w:val="15"/>
              </w:rPr>
              <w:t>Optional with capability signalling</w:t>
            </w:r>
          </w:p>
          <w:p>
            <w:pPr>
              <w:pStyle w:val="162"/>
              <w:ind w:firstLine="0" w:firstLineChars="0"/>
              <w:jc w:val="left"/>
              <w:rPr>
                <w:rFonts w:hint="default" w:ascii="Times New Roman" w:hAnsi="Times New Roman" w:cs="Times New Roman"/>
                <w:color w:val="auto"/>
                <w:sz w:val="15"/>
                <w:szCs w:val="15"/>
              </w:rPr>
            </w:pPr>
          </w:p>
        </w:tc>
      </w:tr>
    </w:tbl>
    <w:p>
      <w:pPr>
        <w:rPr>
          <w:rFonts w:hint="default"/>
          <w:color w:val="0000FF"/>
          <w:lang w:val="en-US" w:eastAsia="zh-CN"/>
        </w:rPr>
      </w:pPr>
    </w:p>
    <w:p>
      <w:pPr>
        <w:pStyle w:val="4"/>
        <w:bidi w:val="0"/>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 FG 24-6 and FG 24-7</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eastAsia"/>
          <w:b w:val="0"/>
          <w:bCs w:val="0"/>
          <w:sz w:val="21"/>
          <w:szCs w:val="21"/>
          <w:lang w:val="en-US" w:eastAsia="zh-CN"/>
        </w:rPr>
      </w:pPr>
      <w:r>
        <w:rPr>
          <w:rFonts w:hint="eastAsia"/>
          <w:b w:val="0"/>
          <w:bCs w:val="0"/>
          <w:sz w:val="21"/>
          <w:szCs w:val="21"/>
          <w:lang w:val="en-US" w:eastAsia="zh-CN"/>
        </w:rPr>
        <w:t>Regarding LBT bandwidth, the following agreement has been achieved in the last meeting:</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b/>
              </w:rPr>
            </w:pPr>
            <w:r>
              <w:rPr>
                <w:b/>
                <w:highlight w:val="green"/>
              </w:rPr>
              <w:t>Agreement</w:t>
            </w:r>
          </w:p>
          <w:p>
            <w:pPr>
              <w:spacing w:before="120" w:line="280" w:lineRule="atLeast"/>
              <w:rPr>
                <w:lang w:eastAsia="zh-CN"/>
              </w:rPr>
            </w:pPr>
            <w:r>
              <w:rPr>
                <w:lang w:eastAsia="zh-CN"/>
              </w:rPr>
              <w:t>For LBT for single carrier UL transmission, UE performs LBT over a BW that at least includes the active UL BWP bandwidth</w:t>
            </w:r>
          </w:p>
          <w:p>
            <w:pPr>
              <w:pStyle w:val="114"/>
              <w:numPr>
                <w:ilvl w:val="0"/>
                <w:numId w:val="10"/>
              </w:numPr>
              <w:kinsoku w:val="0"/>
              <w:overflowPunct w:val="0"/>
              <w:adjustRightInd w:val="0"/>
              <w:spacing w:before="120" w:after="60" w:line="280" w:lineRule="atLeast"/>
              <w:contextualSpacing w:val="0"/>
              <w:textAlignment w:val="baseline"/>
            </w:pPr>
            <w:r>
              <w:t>The BW that at least includes the active UL BWP bandwidth is captured as “channel” in 37.213</w:t>
            </w:r>
          </w:p>
          <w:p>
            <w:pPr>
              <w:spacing w:before="120" w:line="280" w:lineRule="atLeast"/>
              <w:rPr>
                <w:b/>
                <w:highlight w:val="green"/>
              </w:rPr>
            </w:pPr>
          </w:p>
          <w:p>
            <w:pPr>
              <w:spacing w:before="120" w:line="280" w:lineRule="atLeast"/>
              <w:rPr>
                <w:b/>
              </w:rPr>
            </w:pPr>
            <w:r>
              <w:rPr>
                <w:b/>
                <w:highlight w:val="green"/>
              </w:rPr>
              <w:t>Agreement</w:t>
            </w:r>
          </w:p>
          <w:p>
            <w:pPr>
              <w:spacing w:before="120" w:line="280" w:lineRule="atLeast"/>
              <w:rPr>
                <w:lang w:eastAsia="zh-CN"/>
              </w:rPr>
            </w:pPr>
            <w:r>
              <w:rPr>
                <w:lang w:eastAsia="zh-CN"/>
              </w:rPr>
              <w:t>For LBT for single carrier DL transmission to a UE, gNB performs LBT over a bandwidth that at least includes the active DL BWP bandwidth configured for that UE.</w:t>
            </w:r>
          </w:p>
          <w:p>
            <w:pPr>
              <w:pStyle w:val="114"/>
              <w:numPr>
                <w:ilvl w:val="0"/>
                <w:numId w:val="10"/>
              </w:numPr>
              <w:kinsoku w:val="0"/>
              <w:overflowPunct w:val="0"/>
              <w:adjustRightInd w:val="0"/>
              <w:spacing w:before="120" w:after="60" w:line="280" w:lineRule="atLeast"/>
              <w:contextualSpacing w:val="0"/>
              <w:textAlignment w:val="baseline"/>
            </w:pPr>
            <w:r>
              <w:t>This does not rule out gNB implementation to perform LBT over a wider bandwidth</w:t>
            </w:r>
          </w:p>
          <w:p>
            <w:pPr>
              <w:pStyle w:val="114"/>
              <w:numPr>
                <w:ilvl w:val="0"/>
                <w:numId w:val="10"/>
              </w:numPr>
              <w:kinsoku w:val="0"/>
              <w:overflowPunct w:val="0"/>
              <w:adjustRightInd w:val="0"/>
              <w:spacing w:before="120" w:after="60" w:line="280" w:lineRule="atLeast"/>
              <w:contextualSpacing w:val="0"/>
              <w:textAlignment w:val="baseline"/>
            </w:pPr>
            <w:r>
              <w:t>The BW that at least includes the active DL BWP bandwidth is captured as “channel” in 37.213</w:t>
            </w:r>
          </w:p>
          <w:p>
            <w:pPr>
              <w:spacing w:before="120" w:line="280" w:lineRule="atLeast"/>
              <w:rPr>
                <w:lang w:eastAsia="zh-CN"/>
              </w:rPr>
            </w:pPr>
            <w:r>
              <w:rPr>
                <w:lang w:eastAsia="zh-CN"/>
              </w:rPr>
              <w:t>For LBT for single carrier DL transmission to multiple UEs, from each UE point of view, gNB performs LBT over a bandwidth that at least includes the active DL BWP bandwidth configured for that UE.</w:t>
            </w:r>
          </w:p>
          <w:p>
            <w:pPr>
              <w:pStyle w:val="114"/>
              <w:numPr>
                <w:ilvl w:val="0"/>
                <w:numId w:val="10"/>
              </w:numPr>
              <w:kinsoku w:val="0"/>
              <w:overflowPunct w:val="0"/>
              <w:adjustRightInd w:val="0"/>
              <w:spacing w:before="120" w:after="60" w:line="280" w:lineRule="atLeast"/>
              <w:contextualSpacing w:val="0"/>
              <w:textAlignment w:val="baseline"/>
              <w:rPr>
                <w:rFonts w:hint="eastAsia"/>
                <w:b w:val="0"/>
                <w:bCs w:val="0"/>
                <w:sz w:val="21"/>
                <w:szCs w:val="21"/>
                <w:vertAlign w:val="baseline"/>
                <w:lang w:val="en-US" w:eastAsia="zh-CN"/>
              </w:rPr>
            </w:pPr>
            <w:r>
              <w:t>This does not rule out gNB implementation to perform LBT over a wider bandwidth that includes the active DL BWP of multiple UEs</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sz w:val="21"/>
          <w:szCs w:val="21"/>
          <w:lang w:val="en-US" w:eastAsia="zh-CN"/>
        </w:rPr>
      </w:pPr>
      <w:r>
        <w:rPr>
          <w:rFonts w:hint="eastAsia"/>
          <w:b w:val="0"/>
          <w:bCs w:val="0"/>
          <w:sz w:val="21"/>
          <w:szCs w:val="21"/>
          <w:lang w:val="en-US" w:eastAsia="zh-CN"/>
        </w:rPr>
        <w:t xml:space="preserve">According to the above conclusion, we propose to remove </w:t>
      </w:r>
      <w:r>
        <w:rPr>
          <w:rFonts w:hint="default"/>
          <w:b w:val="0"/>
          <w:bCs w:val="0"/>
          <w:sz w:val="21"/>
          <w:szCs w:val="21"/>
          <w:lang w:val="en-US" w:eastAsia="zh-CN"/>
        </w:rPr>
        <w:t>“</w:t>
      </w:r>
      <w:r>
        <w:rPr>
          <w:rFonts w:hint="eastAsia"/>
          <w:b w:val="0"/>
          <w:bCs w:val="0"/>
          <w:sz w:val="21"/>
          <w:szCs w:val="21"/>
          <w:lang w:val="en-US" w:eastAsia="zh-CN"/>
        </w:rPr>
        <w:t>per carrier</w:t>
      </w:r>
      <w:r>
        <w:rPr>
          <w:rFonts w:hint="default"/>
          <w:b w:val="0"/>
          <w:bCs w:val="0"/>
          <w:sz w:val="21"/>
          <w:szCs w:val="21"/>
          <w:lang w:val="en-US" w:eastAsia="zh-CN"/>
        </w:rPr>
        <w:t>”</w:t>
      </w:r>
      <w:r>
        <w:rPr>
          <w:rFonts w:hint="eastAsia"/>
          <w:b w:val="0"/>
          <w:bCs w:val="0"/>
          <w:sz w:val="21"/>
          <w:szCs w:val="21"/>
          <w:lang w:val="en-US" w:eastAsia="zh-CN"/>
        </w:rPr>
        <w:t xml:space="preserve"> from component 2 and </w:t>
      </w:r>
      <w:r>
        <w:rPr>
          <w:rFonts w:hint="eastAsia"/>
          <w:sz w:val="21"/>
          <w:szCs w:val="21"/>
          <w:lang w:val="en-US" w:eastAsia="zh-CN"/>
        </w:rPr>
        <w:t xml:space="preserve">brackets of </w:t>
      </w:r>
      <w:r>
        <w:rPr>
          <w:rFonts w:hint="default"/>
          <w:sz w:val="21"/>
          <w:szCs w:val="21"/>
          <w:lang w:val="en-US" w:eastAsia="zh-CN"/>
        </w:rPr>
        <w:t>“Support LBT performed per carrier/BWP bandwidth”</w:t>
      </w:r>
      <w:r>
        <w:rPr>
          <w:rFonts w:hint="eastAsia"/>
          <w:sz w:val="21"/>
          <w:szCs w:val="21"/>
          <w:lang w:val="en-US" w:eastAsia="zh-CN"/>
        </w:rPr>
        <w:t>.</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4:</w:t>
      </w:r>
      <w:r>
        <w:rPr>
          <w:rFonts w:hint="eastAsia"/>
          <w:b w:val="0"/>
          <w:bCs w:val="0"/>
          <w:sz w:val="21"/>
          <w:szCs w:val="21"/>
          <w:lang w:val="en-US" w:eastAsia="zh-CN"/>
        </w:rPr>
        <w:t xml:space="preserve"> </w:t>
      </w:r>
      <w:r>
        <w:rPr>
          <w:rFonts w:hint="eastAsia"/>
          <w:b/>
          <w:bCs/>
          <w:sz w:val="21"/>
          <w:szCs w:val="21"/>
          <w:lang w:val="en-US" w:eastAsia="zh-CN"/>
        </w:rPr>
        <w:t xml:space="preserve">Remove </w:t>
      </w:r>
      <w:r>
        <w:rPr>
          <w:rFonts w:hint="default"/>
          <w:b/>
          <w:bCs/>
          <w:sz w:val="21"/>
          <w:szCs w:val="21"/>
          <w:lang w:val="en-US" w:eastAsia="zh-CN"/>
        </w:rPr>
        <w:t>“</w:t>
      </w:r>
      <w:r>
        <w:rPr>
          <w:rFonts w:hint="eastAsia"/>
          <w:b/>
          <w:bCs/>
          <w:sz w:val="21"/>
          <w:szCs w:val="21"/>
          <w:lang w:val="en-US" w:eastAsia="zh-CN"/>
        </w:rPr>
        <w:t>per carrier</w:t>
      </w:r>
      <w:r>
        <w:rPr>
          <w:rFonts w:hint="default"/>
          <w:b/>
          <w:bCs/>
          <w:sz w:val="21"/>
          <w:szCs w:val="21"/>
          <w:lang w:val="en-US" w:eastAsia="zh-CN"/>
        </w:rPr>
        <w:t>”</w:t>
      </w:r>
      <w:r>
        <w:rPr>
          <w:rFonts w:hint="eastAsia"/>
          <w:b/>
          <w:bCs/>
          <w:sz w:val="21"/>
          <w:szCs w:val="21"/>
          <w:lang w:val="en-US" w:eastAsia="zh-CN"/>
        </w:rPr>
        <w:t xml:space="preserve"> from Component 2 in FG24-6 and FG 24-7.</w:t>
      </w:r>
    </w:p>
    <w:p>
      <w:pPr>
        <w:pStyle w:val="4"/>
        <w:bidi w:val="0"/>
        <w:rPr>
          <w:rFonts w:hint="eastAsia" w:ascii="Times New Roman" w:hAnsi="Times New Roman" w:cs="Times New Roman"/>
          <w:b/>
          <w:bCs/>
          <w:sz w:val="24"/>
          <w:szCs w:val="24"/>
          <w:lang w:val="en-US" w:eastAsia="zh-CN"/>
        </w:rPr>
      </w:pPr>
      <w:r>
        <w:rPr>
          <w:rFonts w:hint="eastAsia" w:ascii="Times New Roman" w:hAnsi="Times New Roman" w:cs="Times New Roman"/>
          <w:b/>
          <w:bCs/>
          <w:sz w:val="24"/>
          <w:szCs w:val="24"/>
          <w:lang w:val="en-US" w:eastAsia="zh-CN"/>
        </w:rPr>
        <w:t xml:space="preserve"> FG 24-8 and FG 24-9</w:t>
      </w:r>
    </w:p>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ascii="Times New Roman" w:hAnsi="Times New Roman" w:cs="Times New Roman"/>
          <w:b w:val="0"/>
          <w:bCs w:val="0"/>
          <w:sz w:val="21"/>
          <w:szCs w:val="21"/>
          <w:lang w:val="en-US" w:eastAsia="zh-CN"/>
        </w:rPr>
      </w:pPr>
      <w:r>
        <w:rPr>
          <w:rFonts w:hint="eastAsia" w:ascii="Times New Roman" w:hAnsi="Times New Roman" w:cs="Times New Roman"/>
          <w:b w:val="0"/>
          <w:bCs w:val="0"/>
          <w:sz w:val="21"/>
          <w:szCs w:val="21"/>
          <w:lang w:val="en-US" w:eastAsia="zh-CN"/>
        </w:rPr>
        <w:t xml:space="preserve">For FG 24-8 and FG 24-9, the main divergence is these two features are per UE, per BC, per Band or per FSPC. Form our point of view, our first preference is per UE which is beneficial to achieve the unified definition in different Frequency range. For FSPC, </w:t>
      </w:r>
      <w:r>
        <w:rPr>
          <w:rFonts w:hint="eastAsia" w:eastAsia="宋体"/>
          <w:lang w:val="en-US" w:eastAsia="zh-CN"/>
        </w:rPr>
        <w:t>it</w:t>
      </w:r>
      <w:r>
        <w:rPr>
          <w:rFonts w:hint="eastAsia" w:eastAsia="宋体"/>
          <w:lang w:eastAsia="zh-CN"/>
        </w:rPr>
        <w:t xml:space="preserve"> </w:t>
      </w:r>
      <w:r>
        <w:rPr>
          <w:rFonts w:hint="eastAsia" w:eastAsia="宋体"/>
          <w:lang w:val="en-US" w:eastAsia="zh-CN"/>
        </w:rPr>
        <w:t xml:space="preserve">can </w:t>
      </w:r>
      <w:r>
        <w:rPr>
          <w:rFonts w:hint="eastAsia" w:eastAsia="宋体"/>
          <w:lang w:eastAsia="zh-CN"/>
        </w:rPr>
        <w:t>indeed</w:t>
      </w:r>
      <w:r>
        <w:rPr>
          <w:rFonts w:hint="eastAsia" w:eastAsia="宋体"/>
          <w:lang w:val="en-US" w:eastAsia="zh-CN"/>
        </w:rPr>
        <w:t xml:space="preserve"> provide</w:t>
      </w:r>
      <w:r>
        <w:rPr>
          <w:rFonts w:hint="eastAsia" w:eastAsia="宋体"/>
          <w:lang w:eastAsia="zh-CN"/>
        </w:rPr>
        <w:t xml:space="preserve"> more flex</w:t>
      </w:r>
      <w:r>
        <w:rPr>
          <w:rFonts w:hint="eastAsia" w:eastAsia="宋体"/>
          <w:lang w:val="en-US" w:eastAsia="zh-CN"/>
        </w:rPr>
        <w:t>ibility</w:t>
      </w:r>
      <w:r>
        <w:rPr>
          <w:rFonts w:hint="eastAsia" w:eastAsia="宋体"/>
          <w:lang w:eastAsia="zh-CN"/>
        </w:rPr>
        <w:t>, but it also brings some complexity in signalling design aspect.</w:t>
      </w:r>
      <w:r>
        <w:rPr>
          <w:rFonts w:hint="eastAsia" w:eastAsia="宋体"/>
          <w:lang w:val="en-US" w:eastAsia="zh-CN"/>
        </w:rPr>
        <w:t xml:space="preserve"> For the sake of progress, we think that either per band or per BC can be a compromise way.</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Proposal 5: Support FG 24-8 and FG 24-9 to be defined as per UE</w:t>
      </w:r>
      <w:r>
        <w:rPr>
          <w:rFonts w:hint="eastAsia" w:cs="Times New Roman"/>
          <w:b/>
          <w:bCs/>
          <w:sz w:val="21"/>
          <w:szCs w:val="21"/>
          <w:lang w:val="en-US" w:eastAsia="zh-CN"/>
        </w:rPr>
        <w:t xml:space="preserve"> </w:t>
      </w:r>
      <w:r>
        <w:rPr>
          <w:rFonts w:hint="eastAsia" w:ascii="Times New Roman" w:hAnsi="Times New Roman" w:cs="Times New Roman"/>
          <w:b/>
          <w:bCs/>
          <w:sz w:val="21"/>
          <w:szCs w:val="21"/>
          <w:lang w:val="en-US" w:eastAsia="zh-CN"/>
        </w:rPr>
        <w:t>(1st preference)</w:t>
      </w:r>
      <w:r>
        <w:rPr>
          <w:rFonts w:hint="eastAsia" w:cs="Times New Roman"/>
          <w:b/>
          <w:bCs/>
          <w:sz w:val="21"/>
          <w:szCs w:val="21"/>
          <w:lang w:val="en-US" w:eastAsia="zh-CN"/>
        </w:rPr>
        <w:t xml:space="preserve">, </w:t>
      </w:r>
      <w:r>
        <w:rPr>
          <w:rFonts w:hint="eastAsia" w:ascii="Times New Roman" w:hAnsi="Times New Roman" w:cs="Times New Roman"/>
          <w:b/>
          <w:bCs/>
          <w:sz w:val="21"/>
          <w:szCs w:val="21"/>
          <w:lang w:val="en-US" w:eastAsia="zh-CN"/>
        </w:rPr>
        <w:t>per band or per BC.</w:t>
      </w:r>
    </w:p>
    <w:p>
      <w:pPr>
        <w:pStyle w:val="3"/>
        <w:numPr>
          <w:ilvl w:val="-1"/>
          <w:numId w:val="0"/>
        </w:numPr>
        <w:ind w:left="576" w:hanging="576"/>
        <w:rPr>
          <w:rFonts w:hint="eastAsia" w:ascii="Times New Roman" w:hAnsi="Times New Roman" w:cs="Times New Roman"/>
          <w:b/>
          <w:bCs/>
          <w:sz w:val="30"/>
          <w:szCs w:val="30"/>
          <w:lang w:val="en-US" w:eastAsia="zh-CN"/>
        </w:rPr>
      </w:pPr>
      <w:r>
        <w:rPr>
          <w:rFonts w:hint="eastAsia" w:ascii="Times New Roman" w:hAnsi="Times New Roman" w:cs="Times New Roman"/>
          <w:b/>
          <w:bCs/>
          <w:sz w:val="30"/>
          <w:szCs w:val="30"/>
          <w:lang w:val="en-US" w:eastAsia="zh-CN"/>
        </w:rPr>
        <w:t>2.2</w:t>
      </w:r>
      <w:bookmarkStart w:id="3" w:name="_GoBack"/>
      <w:bookmarkEnd w:id="3"/>
      <w:r>
        <w:rPr>
          <w:rFonts w:hint="eastAsia" w:ascii="Times New Roman" w:hAnsi="Times New Roman" w:cs="Times New Roman"/>
          <w:b/>
          <w:bCs/>
          <w:sz w:val="30"/>
          <w:szCs w:val="30"/>
          <w:lang w:val="en-US" w:eastAsia="zh-CN"/>
        </w:rPr>
        <w:t xml:space="preserve"> Application of some features for FR 2-1 and FR1</w:t>
      </w:r>
    </w:p>
    <w:p>
      <w:pPr>
        <w:numPr>
          <w:ilvl w:val="-1"/>
          <w:numId w:val="0"/>
        </w:numPr>
        <w:ind w:left="0" w:firstLine="0"/>
        <w:outlineLvl w:val="9"/>
        <w:rPr>
          <w:rFonts w:hint="eastAsia"/>
          <w:sz w:val="21"/>
          <w:szCs w:val="21"/>
          <w:lang w:val="en-US" w:eastAsia="zh-CN"/>
        </w:rPr>
      </w:pPr>
      <w:r>
        <w:rPr>
          <w:rFonts w:hint="eastAsia"/>
          <w:sz w:val="21"/>
          <w:szCs w:val="21"/>
          <w:lang w:val="en-US" w:eastAsia="zh-CN"/>
        </w:rPr>
        <w:t>In this section, we will discuss on the application range of some enhanced features specified in FR 2-2, that is, whether some enhancements can be extended to FR 2-1 and/or FR 1.</w:t>
      </w:r>
    </w:p>
    <w:p>
      <w:pPr>
        <w:numPr>
          <w:ilvl w:val="-1"/>
          <w:numId w:val="0"/>
        </w:numPr>
        <w:ind w:left="0" w:firstLine="0"/>
        <w:outlineLvl w:val="9"/>
        <w:rPr>
          <w:rFonts w:hint="eastAsia"/>
          <w:sz w:val="21"/>
          <w:szCs w:val="21"/>
          <w:lang w:val="en-US" w:eastAsia="zh-CN"/>
        </w:rPr>
      </w:pPr>
      <w:r>
        <w:rPr>
          <w:rFonts w:hint="eastAsia"/>
          <w:sz w:val="21"/>
          <w:szCs w:val="21"/>
          <w:lang w:val="en-US" w:eastAsia="zh-CN"/>
        </w:rPr>
        <w:t>For the existing FGs discussed for NR above 52.5GHz, we think that it will be limited to FR2-2 by default. In this regard, we need to further discuss whether some of FGs can be applied to FR 2-1 and/or FR 1. Wherein, the principles for judging whether can be extended to FR 2-2 and/or FR 1 are as follows:</w:t>
      </w:r>
    </w:p>
    <w:p>
      <w:pPr>
        <w:numPr>
          <w:ilvl w:val="0"/>
          <w:numId w:val="11"/>
        </w:numPr>
        <w:ind w:left="425" w:hanging="425"/>
        <w:outlineLvl w:val="9"/>
        <w:rPr>
          <w:rFonts w:hint="default"/>
          <w:sz w:val="21"/>
          <w:szCs w:val="21"/>
          <w:lang w:val="en-US" w:eastAsia="zh-CN"/>
        </w:rPr>
      </w:pPr>
      <w:r>
        <w:rPr>
          <w:rFonts w:hint="eastAsia"/>
          <w:sz w:val="21"/>
          <w:szCs w:val="21"/>
          <w:lang w:val="en-US" w:eastAsia="zh-CN"/>
        </w:rPr>
        <w:t>Whether it is beneficial to FR1 and/or FR 2-1;</w:t>
      </w:r>
    </w:p>
    <w:p>
      <w:pPr>
        <w:numPr>
          <w:ilvl w:val="0"/>
          <w:numId w:val="11"/>
        </w:numPr>
        <w:ind w:left="425" w:hanging="425"/>
        <w:outlineLvl w:val="9"/>
        <w:rPr>
          <w:rFonts w:hint="default"/>
          <w:sz w:val="21"/>
          <w:szCs w:val="21"/>
          <w:lang w:val="en-US" w:eastAsia="zh-CN"/>
        </w:rPr>
      </w:pPr>
      <w:r>
        <w:rPr>
          <w:rFonts w:hint="eastAsia"/>
          <w:sz w:val="21"/>
          <w:szCs w:val="21"/>
          <w:lang w:val="en-US" w:eastAsia="zh-CN"/>
        </w:rPr>
        <w:t>Whether it is compatible with the existing FR1 and/or FR 2-1 features;</w:t>
      </w:r>
    </w:p>
    <w:p>
      <w:pPr>
        <w:numPr>
          <w:ilvl w:val="0"/>
          <w:numId w:val="11"/>
        </w:numPr>
        <w:ind w:left="425" w:hanging="425"/>
        <w:outlineLvl w:val="9"/>
        <w:rPr>
          <w:rFonts w:hint="default"/>
          <w:sz w:val="21"/>
          <w:szCs w:val="21"/>
          <w:lang w:val="en-US" w:eastAsia="zh-CN"/>
        </w:rPr>
      </w:pPr>
      <w:r>
        <w:rPr>
          <w:rFonts w:hint="eastAsia"/>
          <w:sz w:val="21"/>
          <w:szCs w:val="21"/>
          <w:lang w:val="en-US" w:eastAsia="zh-CN"/>
        </w:rPr>
        <w:t>Whether it is only applicable to unlicensed band or licensed band or both;</w:t>
      </w:r>
    </w:p>
    <w:p>
      <w:pPr>
        <w:rPr>
          <w:rFonts w:hint="eastAsia"/>
          <w:sz w:val="21"/>
          <w:szCs w:val="21"/>
          <w:lang w:val="en-US" w:eastAsia="zh-CN"/>
        </w:rPr>
      </w:pPr>
      <w:r>
        <w:rPr>
          <w:rFonts w:hint="eastAsia"/>
          <w:sz w:val="21"/>
          <w:szCs w:val="21"/>
          <w:lang w:val="en-US" w:eastAsia="zh-CN"/>
        </w:rPr>
        <w:t>For the following enhanced FGs in FR 2-2, we will share our preference on whether it can be applied to FR1 and/or FR2-1:</w:t>
      </w:r>
    </w:p>
    <w:p>
      <w:pPr>
        <w:numPr>
          <w:ilvl w:val="0"/>
          <w:numId w:val="12"/>
        </w:numPr>
        <w:ind w:left="420" w:hanging="420"/>
        <w:rPr>
          <w:rFonts w:hint="default"/>
          <w:sz w:val="21"/>
          <w:szCs w:val="21"/>
          <w:lang w:val="en-US" w:eastAsia="zh-CN"/>
        </w:rPr>
      </w:pPr>
      <w:r>
        <w:rPr>
          <w:rFonts w:hint="eastAsia"/>
          <w:sz w:val="21"/>
          <w:szCs w:val="21"/>
          <w:vertAlign w:val="baseline"/>
          <w:lang w:val="en-US" w:eastAsia="zh-CN"/>
        </w:rPr>
        <w:t>Multiple PDSCH scheduling by single DCI (e.g., FG 24-1d)</w:t>
      </w:r>
    </w:p>
    <w:p>
      <w:pPr>
        <w:numPr>
          <w:ilvl w:val="-1"/>
          <w:numId w:val="0"/>
        </w:numPr>
        <w:ind w:left="0" w:firstLine="0"/>
        <w:rPr>
          <w:rFonts w:hint="default"/>
          <w:sz w:val="21"/>
          <w:szCs w:val="21"/>
          <w:lang w:val="en-US" w:eastAsia="zh-CN"/>
        </w:rPr>
      </w:pPr>
      <w:r>
        <w:rPr>
          <w:rFonts w:hint="eastAsia"/>
          <w:sz w:val="21"/>
          <w:szCs w:val="21"/>
          <w:lang w:val="en-US" w:eastAsia="zh-CN"/>
        </w:rPr>
        <w:t>In FR 2-2, multiple PDSCH scheduling by single DCI is applied to the</w:t>
      </w:r>
      <w:r>
        <w:rPr>
          <w:rFonts w:ascii="Times New Roman" w:hAnsi="Times New Roman" w:eastAsiaTheme="minorEastAsia"/>
          <w:sz w:val="21"/>
          <w:szCs w:val="21"/>
          <w:lang w:eastAsia="zh-CN"/>
        </w:rPr>
        <w:t xml:space="preserve"> licensed and unlicensed </w:t>
      </w:r>
      <w:r>
        <w:rPr>
          <w:rFonts w:hint="eastAsia" w:ascii="Times New Roman" w:hAnsi="Times New Roman" w:eastAsiaTheme="minorEastAsia"/>
          <w:sz w:val="21"/>
          <w:szCs w:val="21"/>
          <w:lang w:val="en-US" w:eastAsia="zh-CN"/>
        </w:rPr>
        <w:t xml:space="preserve">spectrum </w:t>
      </w:r>
      <w:r>
        <w:rPr>
          <w:rFonts w:ascii="Times New Roman" w:hAnsi="Times New Roman" w:eastAsiaTheme="minorEastAsia"/>
          <w:sz w:val="21"/>
          <w:szCs w:val="21"/>
          <w:lang w:eastAsia="zh-CN"/>
        </w:rPr>
        <w:t>operation</w:t>
      </w:r>
      <w:r>
        <w:rPr>
          <w:rFonts w:hint="eastAsia" w:eastAsiaTheme="minorEastAsia"/>
          <w:sz w:val="21"/>
          <w:szCs w:val="21"/>
          <w:lang w:val="en-US" w:eastAsia="zh-CN"/>
        </w:rPr>
        <w:t xml:space="preserve"> to unify design requirement. Besides, this enhancement is beneficial to degrade</w:t>
      </w:r>
      <w:r>
        <w:rPr>
          <w:rFonts w:hint="eastAsia"/>
          <w:sz w:val="21"/>
          <w:szCs w:val="21"/>
          <w:lang w:val="en-US" w:eastAsia="zh-CN"/>
        </w:rPr>
        <w:t xml:space="preserve"> the overhead of DCI signalling. So considering signalling overhead, we think it can be considered as a feature to be applied to all SCSs for FR 2-1 and FR 1 and no differentiation licensed and unlicensed spectrum.</w:t>
      </w:r>
    </w:p>
    <w:p>
      <w:pPr>
        <w:numPr>
          <w:ilvl w:val="0"/>
          <w:numId w:val="12"/>
        </w:numPr>
        <w:ind w:left="420" w:hanging="420"/>
        <w:rPr>
          <w:rFonts w:hint="default"/>
          <w:sz w:val="21"/>
          <w:szCs w:val="21"/>
          <w:lang w:val="en-US" w:eastAsia="zh-CN"/>
        </w:rPr>
      </w:pPr>
      <w:r>
        <w:rPr>
          <w:rFonts w:hint="eastAsia"/>
          <w:sz w:val="21"/>
          <w:szCs w:val="21"/>
          <w:vertAlign w:val="baseline"/>
          <w:lang w:val="en-US" w:eastAsia="zh-CN"/>
        </w:rPr>
        <w:t>Multiple PUSCH scheduling by single DCI(e.g., FG 24-1e)</w:t>
      </w:r>
    </w:p>
    <w:p>
      <w:pPr>
        <w:numPr>
          <w:ilvl w:val="-1"/>
          <w:numId w:val="0"/>
        </w:numPr>
        <w:ind w:left="0" w:firstLine="0"/>
        <w:outlineLvl w:val="9"/>
        <w:rPr>
          <w:rFonts w:hint="default"/>
          <w:sz w:val="21"/>
          <w:szCs w:val="21"/>
          <w:lang w:val="en-US" w:eastAsia="zh-CN"/>
        </w:rPr>
      </w:pPr>
      <w:r>
        <w:rPr>
          <w:rFonts w:hint="eastAsia"/>
          <w:sz w:val="21"/>
          <w:szCs w:val="21"/>
          <w:lang w:val="en-US" w:eastAsia="zh-CN"/>
        </w:rPr>
        <w:t>In FR1, multiple PUSCH scheduling by single DCI has been supported but only continuous PUSCH scheduling by single DCI is introduced. And such enhancement has not been introduced in FR 2-1. However, FR 2-2 supports non-continuous and continuous PUSCHs in time-domain scheduled by single DCI, which is different with that of FR1. In order to reduce signalling overhead, it is beneficial to extend this feature to all SCSs for FR 1 and even for FR 2-1.</w:t>
      </w:r>
    </w:p>
    <w:p>
      <w:pPr>
        <w:numPr>
          <w:ilvl w:val="0"/>
          <w:numId w:val="0"/>
        </w:numPr>
        <w:rPr>
          <w:rFonts w:hint="eastAsia"/>
          <w:sz w:val="21"/>
          <w:szCs w:val="21"/>
          <w:lang w:val="en-US" w:eastAsia="zh-CN"/>
        </w:rPr>
      </w:pPr>
      <w:r>
        <w:rPr>
          <w:rFonts w:hint="eastAsia"/>
          <w:b/>
          <w:bCs/>
          <w:sz w:val="21"/>
          <w:szCs w:val="21"/>
          <w:lang w:val="en-US" w:eastAsia="zh-CN"/>
        </w:rPr>
        <w:t>Proposal 6: Enhancements on m</w:t>
      </w:r>
      <w:r>
        <w:rPr>
          <w:rFonts w:hint="eastAsia"/>
          <w:b/>
          <w:bCs/>
          <w:sz w:val="21"/>
          <w:szCs w:val="21"/>
          <w:vertAlign w:val="baseline"/>
          <w:lang w:val="en-US" w:eastAsia="zh-CN"/>
        </w:rPr>
        <w:t xml:space="preserve">ultiple PUSCH/PDSCH scheduling by single DCI </w:t>
      </w:r>
      <w:r>
        <w:rPr>
          <w:rFonts w:hint="eastAsia"/>
          <w:b/>
          <w:bCs/>
          <w:sz w:val="21"/>
          <w:szCs w:val="21"/>
          <w:lang w:val="en-US" w:eastAsia="zh-CN"/>
        </w:rPr>
        <w:t>can be considered to be applied to all SCSs for FR1 and FR2-1 as optional features.</w:t>
      </w:r>
    </w:p>
    <w:p>
      <w:pPr>
        <w:pStyle w:val="2"/>
        <w:rPr>
          <w:lang w:eastAsia="zh-CN"/>
        </w:rPr>
      </w:pPr>
      <w:r>
        <w:rPr>
          <w:rFonts w:hint="eastAsia"/>
          <w:lang w:eastAsia="zh-CN"/>
        </w:rPr>
        <w:t>C</w:t>
      </w:r>
      <w:r>
        <w:rPr>
          <w:lang w:eastAsia="zh-CN"/>
        </w:rPr>
        <w:t>onclusion</w:t>
      </w:r>
    </w:p>
    <w:p>
      <w:pPr>
        <w:rPr>
          <w:sz w:val="21"/>
          <w:szCs w:val="21"/>
          <w:lang w:val="en-US" w:eastAsia="zh-CN"/>
        </w:rPr>
      </w:pPr>
      <w:r>
        <w:rPr>
          <w:sz w:val="21"/>
          <w:szCs w:val="21"/>
          <w:lang w:val="en-US" w:eastAsia="zh-CN"/>
        </w:rPr>
        <w:t xml:space="preserve">In this contribution, we share some our views on </w:t>
      </w:r>
      <w:r>
        <w:rPr>
          <w:rFonts w:hint="eastAsia"/>
          <w:sz w:val="21"/>
          <w:szCs w:val="21"/>
          <w:lang w:val="en-US" w:eastAsia="zh-CN"/>
        </w:rPr>
        <w:t>UE features</w:t>
      </w:r>
      <w:r>
        <w:rPr>
          <w:sz w:val="21"/>
          <w:szCs w:val="21"/>
          <w:lang w:val="en-US" w:eastAsia="zh-CN"/>
        </w:rPr>
        <w:t xml:space="preserve"> for </w:t>
      </w:r>
      <w:r>
        <w:rPr>
          <w:rFonts w:eastAsia="宋体"/>
          <w:sz w:val="21"/>
          <w:szCs w:val="21"/>
          <w:lang w:val="en-US" w:eastAsia="zh-CN"/>
        </w:rPr>
        <w:t>52.6 GHz to 71</w:t>
      </w:r>
      <w:r>
        <w:rPr>
          <w:rFonts w:hint="eastAsia"/>
          <w:sz w:val="21"/>
          <w:szCs w:val="21"/>
          <w:lang w:val="en-US" w:eastAsia="zh-CN"/>
        </w:rPr>
        <w:t xml:space="preserve"> </w:t>
      </w:r>
      <w:r>
        <w:rPr>
          <w:rFonts w:eastAsia="宋体"/>
          <w:sz w:val="21"/>
          <w:szCs w:val="21"/>
          <w:lang w:val="en-US" w:eastAsia="zh-CN"/>
        </w:rPr>
        <w:t xml:space="preserve">GHz and provide </w:t>
      </w:r>
      <w:r>
        <w:rPr>
          <w:sz w:val="21"/>
          <w:szCs w:val="21"/>
          <w:lang w:val="en-US" w:eastAsia="zh-CN"/>
        </w:rPr>
        <w:t>the following proposals:</w:t>
      </w:r>
    </w:p>
    <w:p>
      <w:pPr>
        <w:spacing w:before="137" w:beforeLines="50"/>
        <w:rPr>
          <w:rFonts w:hint="default"/>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1</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U</w:t>
      </w:r>
      <w:r>
        <w:rPr>
          <w:rFonts w:hint="default" w:ascii="Times New Roman" w:hAnsi="Times New Roman" w:cs="Times New Roman"/>
          <w:b/>
          <w:bCs/>
          <w:sz w:val="21"/>
          <w:szCs w:val="21"/>
          <w:lang w:val="en-US" w:eastAsia="zh-CN"/>
        </w:rPr>
        <w:t>pdate the notes</w:t>
      </w:r>
      <w:r>
        <w:rPr>
          <w:rFonts w:hint="eastAsia" w:cs="Times New Roman"/>
          <w:b/>
          <w:bCs/>
          <w:sz w:val="21"/>
          <w:szCs w:val="21"/>
          <w:lang w:val="en-US" w:eastAsia="zh-CN"/>
        </w:rPr>
        <w:t xml:space="preserve"> in FG 24-1b, FG 24-4b and FG 24-1c as</w:t>
      </w:r>
      <w:r>
        <w:rPr>
          <w:rFonts w:hint="eastAsia"/>
          <w:b/>
          <w:bCs/>
          <w:sz w:val="21"/>
          <w:szCs w:val="21"/>
          <w:lang w:val="en-US" w:eastAsia="zh-CN"/>
        </w:rPr>
        <w:t xml:space="preserve"> </w:t>
      </w:r>
      <w:r>
        <w:rPr>
          <w:rFonts w:hint="default"/>
          <w:b/>
          <w:bCs/>
          <w:sz w:val="21"/>
          <w:szCs w:val="21"/>
          <w:lang w:val="en-US" w:eastAsia="zh-CN"/>
        </w:rPr>
        <w:t>“This FG is only supported when PSD limitation applies within FR2-2 based on the regional regulations”</w:t>
      </w:r>
      <w:r>
        <w:rPr>
          <w:rFonts w:hint="eastAsia"/>
          <w:b/>
          <w:bCs/>
          <w:sz w:val="21"/>
          <w:szCs w:val="21"/>
          <w:lang w:val="en-US" w:eastAsia="zh-CN"/>
        </w:rPr>
        <w:t>.</w:t>
      </w:r>
    </w:p>
    <w:p>
      <w:pPr>
        <w:spacing w:before="137" w:beforeLines="50"/>
        <w:rPr>
          <w:rFonts w:hint="eastAsia" w:cs="Times New Roman"/>
          <w:b/>
          <w:bCs/>
          <w:sz w:val="21"/>
          <w:szCs w:val="21"/>
          <w:lang w:val="en-US" w:eastAsia="zh-CN"/>
        </w:rPr>
      </w:pPr>
      <w:r>
        <w:rPr>
          <w:rFonts w:hint="default" w:ascii="Times New Roman" w:hAnsi="Times New Roman" w:cs="Times New Roman"/>
          <w:b/>
          <w:bCs/>
          <w:sz w:val="21"/>
          <w:szCs w:val="21"/>
          <w:lang w:val="en-US" w:eastAsia="zh-CN"/>
        </w:rPr>
        <w:t xml:space="preserve">Proposal </w:t>
      </w:r>
      <w:r>
        <w:rPr>
          <w:rFonts w:hint="eastAsia" w:cs="Times New Roman"/>
          <w:b/>
          <w:bCs/>
          <w:sz w:val="21"/>
          <w:szCs w:val="21"/>
          <w:lang w:val="en-US" w:eastAsia="zh-CN"/>
        </w:rPr>
        <w:t>2</w:t>
      </w:r>
      <w:r>
        <w:rPr>
          <w:rFonts w:hint="default" w:ascii="Times New Roman" w:hAnsi="Times New Roman" w:cs="Times New Roman"/>
          <w:b/>
          <w:bCs/>
          <w:sz w:val="21"/>
          <w:szCs w:val="21"/>
          <w:lang w:val="en-US" w:eastAsia="zh-CN"/>
        </w:rPr>
        <w:t xml:space="preserve">: </w:t>
      </w:r>
      <w:r>
        <w:rPr>
          <w:rFonts w:hint="eastAsia" w:cs="Times New Roman"/>
          <w:b/>
          <w:bCs/>
          <w:sz w:val="21"/>
          <w:szCs w:val="21"/>
          <w:lang w:val="en-US" w:eastAsia="zh-CN"/>
        </w:rPr>
        <w:t>Clarify whether the capability corresponding to FG 24-2 and FG 24-3 should be signalled to gNB from RAN1 point of view, or this issue is left to RAN2 for decision.</w:t>
      </w:r>
    </w:p>
    <w:p>
      <w:pPr>
        <w:rPr>
          <w:rFonts w:hint="default"/>
          <w:b w:val="0"/>
          <w:bCs w:val="0"/>
          <w:sz w:val="21"/>
          <w:szCs w:val="21"/>
          <w:lang w:val="en-US" w:eastAsia="zh-CN"/>
        </w:rPr>
      </w:pPr>
      <w:r>
        <w:rPr>
          <w:rFonts w:hint="eastAsia"/>
          <w:b/>
          <w:bCs/>
          <w:sz w:val="21"/>
          <w:szCs w:val="21"/>
          <w:lang w:val="en-US" w:eastAsia="zh-CN"/>
        </w:rPr>
        <w:t xml:space="preserve">Proposal 3: Confirm the </w:t>
      </w:r>
      <w:r>
        <w:rPr>
          <w:rFonts w:hint="eastAsia"/>
          <w:b/>
          <w:bCs/>
          <w:lang w:val="en-US" w:eastAsia="zh-CN"/>
        </w:rPr>
        <w:t>yellow highlighting part and remove the bracket for FG 24-4 and FG 24-5:</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9"/>
        <w:gridCol w:w="781"/>
        <w:gridCol w:w="2363"/>
        <w:gridCol w:w="419"/>
        <w:gridCol w:w="450"/>
        <w:gridCol w:w="475"/>
        <w:gridCol w:w="905"/>
        <w:gridCol w:w="710"/>
        <w:gridCol w:w="475"/>
        <w:gridCol w:w="475"/>
        <w:gridCol w:w="475"/>
        <w:gridCol w:w="103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lang w:eastAsia="ja-JP"/>
              </w:rPr>
              <w:t>24-4</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480KHz SCS support for DL</w:t>
            </w:r>
          </w:p>
        </w:tc>
        <w:tc>
          <w:tcPr>
            <w:tcW w:w="0" w:type="auto"/>
            <w:shd w:val="clear" w:color="auto" w:fill="auto"/>
          </w:tcPr>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1. 480KHz SCS for DL data and control channels, SSB, and reference signal reception in FR2-2 for non-initial access</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2. Multiple-slot PDCCH monitoring for 480KHz with (Xs,Ys) = (4,1)</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strike/>
                <w:color w:val="auto"/>
                <w:sz w:val="15"/>
                <w:szCs w:val="15"/>
              </w:rPr>
              <w:t>FFS:</w:t>
            </w:r>
            <w:r>
              <w:rPr>
                <w:rFonts w:hint="default" w:ascii="Times New Roman" w:hAnsi="Times New Roman" w:cs="Times New Roman"/>
                <w:color w:val="auto"/>
                <w:sz w:val="15"/>
                <w:szCs w:val="15"/>
              </w:rPr>
              <w:t xml:space="preserve"> 3. Multi-PDSCH scheduling by single DCI for the operation with 480 kHz SCS and corresponding HARQ enhancements</w:t>
            </w:r>
          </w:p>
          <w:p>
            <w:pPr>
              <w:autoSpaceDE w:val="0"/>
              <w:autoSpaceDN w:val="0"/>
              <w:adjustRightInd w:val="0"/>
              <w:snapToGrid w:val="0"/>
              <w:contextualSpacing/>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 xml:space="preserve">4. Within the Ys = 1 slot (with Xs=4), monitoring of type 1 CSS with dedicated RRC configuration, type 3 CSS, and UE-SS with a maximum of two monitoring spans per slot with a span duration of Y symbols and a minimum gap of X symbols between the start of two spans, where </w:t>
            </w:r>
            <w:r>
              <w:rPr>
                <w:rFonts w:hint="default" w:ascii="Times New Roman" w:hAnsi="Times New Roman" w:cs="Times New Roman"/>
                <w:strike/>
                <w:color w:val="auto"/>
                <w:sz w:val="15"/>
                <w:szCs w:val="15"/>
              </w:rPr>
              <w:t>set2</w:t>
            </w:r>
            <w:r>
              <w:rPr>
                <w:rFonts w:hint="default" w:ascii="Times New Roman" w:hAnsi="Times New Roman" w:cs="Times New Roman"/>
                <w:color w:val="auto"/>
                <w:sz w:val="15"/>
                <w:szCs w:val="15"/>
              </w:rPr>
              <w:t xml:space="preserve"> (X,Y) = (4, 3) and (7, 3) are supported </w:t>
            </w:r>
            <w:r>
              <w:rPr>
                <w:rFonts w:hint="default" w:ascii="Times New Roman" w:hAnsi="Times New Roman" w:cs="Times New Roman"/>
                <w:strike/>
                <w:color w:val="auto"/>
                <w:sz w:val="15"/>
                <w:szCs w:val="15"/>
              </w:rPr>
              <w:t>symbols where set2 is defined in FG3-5b (FFS: Monitoring capability within slots of type 1 CSS without dedicated RRC configuration and type0, 0A, and 2 CSS)</w:t>
            </w:r>
            <w:r>
              <w:rPr>
                <w:rFonts w:hint="default" w:ascii="Times New Roman" w:hAnsi="Times New Roman" w:cs="Times New Roman"/>
                <w:color w:val="auto"/>
                <w:sz w:val="15"/>
                <w:szCs w:val="15"/>
              </w:rPr>
              <w:t xml:space="preserve"> </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 xml:space="preserve">5. Processing one unicast DCI scheduling DL and one unicast DCI scheduling UL per slot group of Xs slots per scheduled CC for FDD </w:t>
            </w:r>
            <w:r>
              <w:rPr>
                <w:rFonts w:hint="default" w:ascii="Times New Roman" w:hAnsi="Times New Roman" w:cs="Times New Roman"/>
                <w:strike/>
                <w:color w:val="auto"/>
                <w:sz w:val="15"/>
                <w:szCs w:val="15"/>
              </w:rPr>
              <w:t>(This supersedes corresponding component of FG 3-5b)</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 xml:space="preserve">6. Processing one unicast DCI scheduling DL and 2 unicast DCI scheduling UL per slot group of Xs slots per scheduled CC for TDD </w:t>
            </w:r>
            <w:r>
              <w:rPr>
                <w:rFonts w:hint="default" w:ascii="Times New Roman" w:hAnsi="Times New Roman" w:cs="Times New Roman"/>
                <w:strike/>
                <w:color w:val="auto"/>
                <w:sz w:val="15"/>
                <w:szCs w:val="15"/>
              </w:rPr>
              <w:t>(This supersedes corresponding component of FG 3-5b)</w:t>
            </w:r>
            <w:r>
              <w:rPr>
                <w:rFonts w:hint="default" w:ascii="Times New Roman" w:hAnsi="Times New Roman" w:cs="Times New Roman"/>
                <w:color w:val="auto"/>
                <w:sz w:val="15"/>
                <w:szCs w:val="15"/>
              </w:rPr>
              <w:t xml:space="preserve">   </w:t>
            </w:r>
          </w:p>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strike/>
                <w:dstrike w:val="0"/>
                <w:color w:val="C00000"/>
                <w:sz w:val="15"/>
                <w:szCs w:val="15"/>
                <w:highlight w:val="yellow"/>
              </w:rPr>
              <w:t>[</w:t>
            </w:r>
            <w:r>
              <w:rPr>
                <w:rFonts w:hint="default" w:ascii="Times New Roman" w:hAnsi="Times New Roman" w:cs="Times New Roman"/>
                <w:color w:val="C00000"/>
                <w:sz w:val="15"/>
                <w:szCs w:val="15"/>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r>
              <w:rPr>
                <w:rFonts w:hint="default" w:ascii="Times New Roman" w:hAnsi="Times New Roman" w:cs="Times New Roman"/>
                <w:strike/>
                <w:dstrike w:val="0"/>
                <w:color w:val="C00000"/>
                <w:sz w:val="15"/>
                <w:szCs w:val="15"/>
                <w:highlight w:val="yellow"/>
              </w:rPr>
              <w:t>]</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24-1</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Yes</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480KHz SCS for DL is not supported</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Per band</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color w:val="auto"/>
                <w:sz w:val="15"/>
                <w:szCs w:val="15"/>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cs="Times New Roman"/>
                <w:strike/>
                <w:color w:val="auto"/>
                <w:sz w:val="15"/>
                <w:szCs w:val="15"/>
              </w:rPr>
              <w:t>FFS: component description without a reference to other R15 FGs</w:t>
            </w:r>
          </w:p>
        </w:tc>
        <w:tc>
          <w:tcPr>
            <w:tcW w:w="0" w:type="auto"/>
            <w:shd w:val="clear" w:color="auto" w:fill="auto"/>
          </w:tcPr>
          <w:p>
            <w:pPr>
              <w:pStyle w:val="65"/>
              <w:rPr>
                <w:rFonts w:hint="default" w:ascii="Times New Roman" w:hAnsi="Times New Roman" w:cs="Times New Roman"/>
                <w:color w:val="auto"/>
                <w:sz w:val="15"/>
                <w:szCs w:val="15"/>
              </w:rPr>
            </w:pPr>
            <w:r>
              <w:rPr>
                <w:rFonts w:hint="default" w:ascii="Times New Roman" w:hAnsi="Times New Roman" w:cs="Times New Roman"/>
                <w:color w:val="auto"/>
                <w:sz w:val="15"/>
                <w:szCs w:val="15"/>
              </w:rPr>
              <w:t>Optional with capability signalling</w:t>
            </w:r>
          </w:p>
          <w:p>
            <w:pPr>
              <w:pStyle w:val="162"/>
              <w:ind w:firstLine="0" w:firstLineChars="0"/>
              <w:jc w:val="left"/>
              <w:rPr>
                <w:rFonts w:hint="default" w:ascii="Times New Roman" w:hAnsi="Times New Roman" w:cs="Times New Roman"/>
                <w:color w:val="auto"/>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162"/>
              <w:ind w:firstLine="0" w:firstLineChars="0"/>
              <w:jc w:val="left"/>
              <w:rPr>
                <w:rFonts w:hint="default" w:ascii="Times New Roman" w:hAnsi="Times New Roman" w:cs="Times New Roman"/>
                <w:color w:val="auto"/>
                <w:sz w:val="15"/>
                <w:szCs w:val="15"/>
                <w:lang w:eastAsia="ja-JP"/>
              </w:rPr>
            </w:pPr>
            <w:r>
              <w:rPr>
                <w:rFonts w:hint="default" w:ascii="Times New Roman" w:hAnsi="Times New Roman" w:cs="Times New Roman"/>
                <w:color w:val="auto"/>
                <w:sz w:val="15"/>
                <w:szCs w:val="15"/>
                <w:lang w:eastAsia="ja-JP"/>
              </w:rPr>
              <w:t>24-5</w:t>
            </w:r>
          </w:p>
        </w:tc>
        <w:tc>
          <w:tcPr>
            <w:tcW w:w="0" w:type="auto"/>
            <w:shd w:val="clear" w:color="auto" w:fill="auto"/>
          </w:tcPr>
          <w:p>
            <w:pPr>
              <w:pStyle w:val="162"/>
              <w:ind w:firstLine="0" w:firstLineChars="0"/>
              <w:jc w:val="left"/>
              <w:rPr>
                <w:rFonts w:hint="default" w:ascii="Times New Roman" w:hAnsi="Times New Roman" w:eastAsia="宋体" w:cs="Times New Roman"/>
                <w:color w:val="auto"/>
                <w:sz w:val="15"/>
                <w:szCs w:val="15"/>
                <w:lang w:eastAsia="zh-CN"/>
              </w:rPr>
            </w:pPr>
            <w:r>
              <w:rPr>
                <w:rFonts w:hint="default" w:ascii="Times New Roman" w:hAnsi="Times New Roman" w:eastAsia="宋体" w:cs="Times New Roman"/>
                <w:color w:val="auto"/>
                <w:sz w:val="15"/>
                <w:szCs w:val="15"/>
                <w:lang w:eastAsia="zh-CN"/>
              </w:rPr>
              <w:t>960KHz SCS support for DL</w:t>
            </w:r>
          </w:p>
        </w:tc>
        <w:tc>
          <w:tcPr>
            <w:tcW w:w="0" w:type="auto"/>
            <w:shd w:val="clear" w:color="auto" w:fill="auto"/>
          </w:tcPr>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1. 960KHz SCS for DL data and control channels, SSB, and reference signal reception in FR2-2 for non-initial access</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2. Multiple-slot PDCCH monitoring for 960KHz with (Xs,Ys)=(8,1)</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strike/>
                <w:color w:val="auto"/>
                <w:sz w:val="15"/>
                <w:szCs w:val="15"/>
              </w:rPr>
              <w:t>FFS:</w:t>
            </w:r>
            <w:r>
              <w:rPr>
                <w:rFonts w:hint="default" w:ascii="Times New Roman" w:hAnsi="Times New Roman" w:cs="Times New Roman"/>
                <w:color w:val="auto"/>
                <w:sz w:val="15"/>
                <w:szCs w:val="15"/>
              </w:rPr>
              <w:t xml:space="preserve"> 3. Multi-PDSCH scheduling by single DCI for the operation with 960 kHz SCS and corresponding HARQ enhancements</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4</w:t>
            </w:r>
            <w:r>
              <w:rPr>
                <w:rFonts w:hint="default" w:ascii="Times New Roman" w:hAnsi="Times New Roman" w:cs="Times New Roman"/>
                <w:strike/>
                <w:color w:val="auto"/>
                <w:sz w:val="15"/>
                <w:szCs w:val="15"/>
              </w:rPr>
              <w:t>3</w:t>
            </w:r>
            <w:r>
              <w:rPr>
                <w:rFonts w:hint="default" w:ascii="Times New Roman" w:hAnsi="Times New Roman" w:cs="Times New Roman"/>
                <w:color w:val="auto"/>
                <w:sz w:val="15"/>
                <w:szCs w:val="15"/>
              </w:rPr>
              <w:t xml:space="preserve">. Within the Ys = 1 slot (with Xs=8), monitoring of type 1 CSS with dedicated RRC configuration, type 3 CSS, and UE-SS with a span duration of Y symbols and a minimum gap of X symbols between the start of two spans, where (X,Y) </w:t>
            </w:r>
            <w:r>
              <w:rPr>
                <w:rFonts w:hint="default" w:ascii="Times New Roman" w:hAnsi="Times New Roman" w:cs="Times New Roman"/>
                <w:strike/>
                <w:color w:val="auto"/>
                <w:sz w:val="15"/>
                <w:szCs w:val="15"/>
              </w:rPr>
              <w:t>set1</w:t>
            </w:r>
            <w:r>
              <w:rPr>
                <w:rFonts w:hint="default" w:ascii="Times New Roman" w:hAnsi="Times New Roman" w:cs="Times New Roman"/>
                <w:color w:val="auto"/>
                <w:sz w:val="15"/>
                <w:szCs w:val="15"/>
              </w:rPr>
              <w:t xml:space="preserve"> = (7, 3) is supported </w:t>
            </w:r>
            <w:r>
              <w:rPr>
                <w:rFonts w:hint="default" w:ascii="Times New Roman" w:hAnsi="Times New Roman" w:cs="Times New Roman"/>
                <w:strike/>
                <w:color w:val="auto"/>
                <w:sz w:val="15"/>
                <w:szCs w:val="15"/>
              </w:rPr>
              <w:t>symbols where set1 is defined in FG3-5b (FFS: Monitoring capability within slots of type 1 CSS without dedicated RRC configuration and type0, 0A, and 2 CSS)</w:t>
            </w:r>
            <w:r>
              <w:rPr>
                <w:rFonts w:hint="default" w:ascii="Times New Roman" w:hAnsi="Times New Roman" w:cs="Times New Roman"/>
                <w:color w:val="auto"/>
                <w:sz w:val="15"/>
                <w:szCs w:val="15"/>
              </w:rPr>
              <w:t xml:space="preserve"> </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5</w:t>
            </w:r>
            <w:r>
              <w:rPr>
                <w:rFonts w:hint="default" w:ascii="Times New Roman" w:hAnsi="Times New Roman" w:cs="Times New Roman"/>
                <w:strike/>
                <w:color w:val="auto"/>
                <w:sz w:val="15"/>
                <w:szCs w:val="15"/>
              </w:rPr>
              <w:t>4</w:t>
            </w:r>
            <w:r>
              <w:rPr>
                <w:rFonts w:hint="default" w:ascii="Times New Roman" w:hAnsi="Times New Roman" w:cs="Times New Roman"/>
                <w:color w:val="auto"/>
                <w:sz w:val="15"/>
                <w:szCs w:val="15"/>
              </w:rPr>
              <w:t xml:space="preserve">. Processing one unicast DCI scheduling DL and one unicast DCI scheduling UL per slot group of Xs slots per scheduled CC for FDD </w:t>
            </w:r>
            <w:r>
              <w:rPr>
                <w:rFonts w:hint="default" w:ascii="Times New Roman" w:hAnsi="Times New Roman" w:cs="Times New Roman"/>
                <w:strike/>
                <w:color w:val="auto"/>
                <w:sz w:val="15"/>
                <w:szCs w:val="15"/>
              </w:rPr>
              <w:t>(This supersedes corresponding component of FG 3-5b)</w:t>
            </w:r>
          </w:p>
          <w:p>
            <w:pPr>
              <w:autoSpaceDE w:val="0"/>
              <w:autoSpaceDN w:val="0"/>
              <w:adjustRightInd w:val="0"/>
              <w:snapToGrid w:val="0"/>
              <w:contextualSpacing/>
              <w:rPr>
                <w:rFonts w:hint="default" w:ascii="Times New Roman" w:hAnsi="Times New Roman" w:cs="Times New Roman"/>
                <w:color w:val="auto"/>
                <w:sz w:val="15"/>
                <w:szCs w:val="15"/>
              </w:rPr>
            </w:pPr>
            <w:r>
              <w:rPr>
                <w:rFonts w:hint="default" w:ascii="Times New Roman" w:hAnsi="Times New Roman" w:cs="Times New Roman"/>
                <w:color w:val="auto"/>
                <w:sz w:val="15"/>
                <w:szCs w:val="15"/>
              </w:rPr>
              <w:t>6</w:t>
            </w:r>
            <w:r>
              <w:rPr>
                <w:rFonts w:hint="default" w:ascii="Times New Roman" w:hAnsi="Times New Roman" w:cs="Times New Roman"/>
                <w:strike/>
                <w:color w:val="auto"/>
                <w:sz w:val="15"/>
                <w:szCs w:val="15"/>
              </w:rPr>
              <w:t>5</w:t>
            </w:r>
            <w:r>
              <w:rPr>
                <w:rFonts w:hint="default" w:ascii="Times New Roman" w:hAnsi="Times New Roman" w:cs="Times New Roman"/>
                <w:color w:val="auto"/>
                <w:sz w:val="15"/>
                <w:szCs w:val="15"/>
              </w:rPr>
              <w:t xml:space="preserve">. Processing one unicast DCI scheduling DL and 2 unicast DCI scheduling UL per slot group of Xs slots per scheduled CC for TDD </w:t>
            </w:r>
            <w:r>
              <w:rPr>
                <w:rFonts w:hint="default" w:ascii="Times New Roman" w:hAnsi="Times New Roman" w:cs="Times New Roman"/>
                <w:strike/>
                <w:color w:val="auto"/>
                <w:sz w:val="15"/>
                <w:szCs w:val="15"/>
              </w:rPr>
              <w:t>(This supersedes corresponding component of FG 3-5b)</w:t>
            </w:r>
          </w:p>
          <w:p>
            <w:pPr>
              <w:pStyle w:val="162"/>
              <w:ind w:firstLine="0" w:firstLineChars="0"/>
              <w:jc w:val="left"/>
              <w:rPr>
                <w:rFonts w:hint="default" w:ascii="Times New Roman" w:hAnsi="Times New Roman" w:cs="Times New Roman"/>
                <w:color w:val="auto"/>
                <w:sz w:val="15"/>
                <w:szCs w:val="15"/>
                <w:highlight w:val="yellow"/>
              </w:rPr>
            </w:pPr>
            <w:r>
              <w:rPr>
                <w:rFonts w:hint="default" w:ascii="Times New Roman" w:hAnsi="Times New Roman" w:cs="Times New Roman"/>
                <w:strike/>
                <w:dstrike w:val="0"/>
                <w:color w:val="C00000"/>
                <w:sz w:val="15"/>
                <w:szCs w:val="15"/>
                <w:highlight w:val="yellow"/>
              </w:rPr>
              <w:t>[</w:t>
            </w:r>
            <w:r>
              <w:rPr>
                <w:rFonts w:hint="default" w:ascii="Times New Roman" w:hAnsi="Times New Roman" w:cs="Times New Roman"/>
                <w:color w:val="C00000"/>
                <w:sz w:val="15"/>
                <w:szCs w:val="15"/>
                <w:highlight w:val="yellow"/>
              </w:rPr>
              <w:t>7. For type 1 CSS without dedicated RRC configuration and for type 0, 0A, and 2 CSS, the monitoring occasion can be any OFDM symbol(s) of each slot of the slot group, with the monitoring occasions for any of Type 1- CSS without dedicated RRC configuration, or Types 0, 0A, or 2 CSS configurations within a single span of three consecutive OFDM symbols within each slot of the slot group.</w:t>
            </w:r>
            <w:r>
              <w:rPr>
                <w:rFonts w:hint="default" w:ascii="Times New Roman" w:hAnsi="Times New Roman" w:cs="Times New Roman"/>
                <w:strike/>
                <w:dstrike w:val="0"/>
                <w:color w:val="C00000"/>
                <w:sz w:val="15"/>
                <w:szCs w:val="15"/>
                <w:highlight w:val="yellow"/>
              </w:rPr>
              <w:t>]</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24-1</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Yes</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960KHz SCS support for DL is not supported</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Perband</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N/A</w:t>
            </w:r>
          </w:p>
        </w:tc>
        <w:tc>
          <w:tcPr>
            <w:tcW w:w="0" w:type="auto"/>
            <w:shd w:val="clear" w:color="auto" w:fill="auto"/>
          </w:tcPr>
          <w:p>
            <w:pPr>
              <w:pStyle w:val="162"/>
              <w:ind w:firstLine="0" w:firstLineChars="0"/>
              <w:jc w:val="left"/>
              <w:rPr>
                <w:rFonts w:hint="default" w:ascii="Times New Roman" w:hAnsi="Times New Roman" w:cs="Times New Roman"/>
                <w:color w:val="auto"/>
                <w:sz w:val="15"/>
                <w:szCs w:val="15"/>
              </w:rPr>
            </w:pPr>
            <w:r>
              <w:rPr>
                <w:rFonts w:hint="default" w:ascii="Times New Roman" w:hAnsi="Times New Roman" w:eastAsia="宋体" w:cs="Times New Roman"/>
                <w:color w:val="auto"/>
                <w:sz w:val="15"/>
                <w:szCs w:val="15"/>
                <w:lang w:eastAsia="zh-CN"/>
              </w:rPr>
              <w:t>N/A</w:t>
            </w:r>
          </w:p>
        </w:tc>
        <w:tc>
          <w:tcPr>
            <w:tcW w:w="0" w:type="auto"/>
            <w:shd w:val="clear" w:color="auto" w:fill="auto"/>
          </w:tcPr>
          <w:p>
            <w:pPr>
              <w:pStyle w:val="162"/>
              <w:ind w:firstLine="0" w:firstLineChars="0"/>
              <w:jc w:val="left"/>
              <w:rPr>
                <w:rFonts w:hint="default" w:ascii="Times New Roman" w:hAnsi="Times New Roman" w:cs="Times New Roman"/>
                <w:strike/>
                <w:color w:val="auto"/>
                <w:sz w:val="15"/>
                <w:szCs w:val="15"/>
              </w:rPr>
            </w:pPr>
            <w:r>
              <w:rPr>
                <w:rFonts w:hint="default" w:ascii="Times New Roman" w:hAnsi="Times New Roman" w:cs="Times New Roman"/>
                <w:strike/>
                <w:color w:val="auto"/>
                <w:sz w:val="15"/>
                <w:szCs w:val="15"/>
              </w:rPr>
              <w:t>FFS: component description without a reference to other R15 FGs</w:t>
            </w:r>
          </w:p>
        </w:tc>
        <w:tc>
          <w:tcPr>
            <w:tcW w:w="0" w:type="auto"/>
            <w:shd w:val="clear" w:color="auto" w:fill="auto"/>
          </w:tcPr>
          <w:p>
            <w:pPr>
              <w:pStyle w:val="65"/>
              <w:rPr>
                <w:rFonts w:hint="default" w:ascii="Times New Roman" w:hAnsi="Times New Roman" w:cs="Times New Roman"/>
                <w:color w:val="auto"/>
                <w:sz w:val="15"/>
                <w:szCs w:val="15"/>
              </w:rPr>
            </w:pPr>
            <w:r>
              <w:rPr>
                <w:rFonts w:hint="default" w:ascii="Times New Roman" w:hAnsi="Times New Roman" w:cs="Times New Roman"/>
                <w:color w:val="auto"/>
                <w:sz w:val="15"/>
                <w:szCs w:val="15"/>
              </w:rPr>
              <w:t>Optional with capability signalling</w:t>
            </w:r>
          </w:p>
          <w:p>
            <w:pPr>
              <w:pStyle w:val="162"/>
              <w:ind w:firstLine="0" w:firstLineChars="0"/>
              <w:jc w:val="left"/>
              <w:rPr>
                <w:rFonts w:hint="default" w:ascii="Times New Roman" w:hAnsi="Times New Roman" w:cs="Times New Roman"/>
                <w:color w:val="auto"/>
                <w:sz w:val="15"/>
                <w:szCs w:val="15"/>
              </w:rPr>
            </w:pPr>
          </w:p>
        </w:tc>
      </w:tr>
    </w:tbl>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eastAsia"/>
          <w:b/>
          <w:bCs/>
          <w:sz w:val="21"/>
          <w:szCs w:val="21"/>
          <w:lang w:val="en-US" w:eastAsia="zh-CN"/>
        </w:rPr>
      </w:pPr>
      <w:r>
        <w:rPr>
          <w:rFonts w:hint="eastAsia"/>
          <w:b/>
          <w:bCs/>
          <w:sz w:val="21"/>
          <w:szCs w:val="21"/>
          <w:lang w:val="en-US" w:eastAsia="zh-CN"/>
        </w:rPr>
        <w:t>Proposal 4:</w:t>
      </w:r>
      <w:r>
        <w:rPr>
          <w:rFonts w:hint="eastAsia"/>
          <w:b w:val="0"/>
          <w:bCs w:val="0"/>
          <w:sz w:val="21"/>
          <w:szCs w:val="21"/>
          <w:lang w:val="en-US" w:eastAsia="zh-CN"/>
        </w:rPr>
        <w:t xml:space="preserve"> </w:t>
      </w:r>
      <w:r>
        <w:rPr>
          <w:rFonts w:hint="eastAsia"/>
          <w:b/>
          <w:bCs/>
          <w:sz w:val="21"/>
          <w:szCs w:val="21"/>
          <w:lang w:val="en-US" w:eastAsia="zh-CN"/>
        </w:rPr>
        <w:t xml:space="preserve">Remove </w:t>
      </w:r>
      <w:r>
        <w:rPr>
          <w:rFonts w:hint="default"/>
          <w:b/>
          <w:bCs/>
          <w:sz w:val="21"/>
          <w:szCs w:val="21"/>
          <w:lang w:val="en-US" w:eastAsia="zh-CN"/>
        </w:rPr>
        <w:t>“</w:t>
      </w:r>
      <w:r>
        <w:rPr>
          <w:rFonts w:hint="eastAsia"/>
          <w:b/>
          <w:bCs/>
          <w:sz w:val="21"/>
          <w:szCs w:val="21"/>
          <w:lang w:val="en-US" w:eastAsia="zh-CN"/>
        </w:rPr>
        <w:t>per carrier</w:t>
      </w:r>
      <w:r>
        <w:rPr>
          <w:rFonts w:hint="default"/>
          <w:b/>
          <w:bCs/>
          <w:sz w:val="21"/>
          <w:szCs w:val="21"/>
          <w:lang w:val="en-US" w:eastAsia="zh-CN"/>
        </w:rPr>
        <w:t>”</w:t>
      </w:r>
      <w:r>
        <w:rPr>
          <w:rFonts w:hint="eastAsia"/>
          <w:b/>
          <w:bCs/>
          <w:sz w:val="21"/>
          <w:szCs w:val="21"/>
          <w:lang w:val="en-US" w:eastAsia="zh-CN"/>
        </w:rPr>
        <w:t xml:space="preserve"> from Component 2 in FG24-6 and FG 24-7.</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rPr>
          <w:rFonts w:hint="default"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Proposal 5: Support FG 24-8 and FG 24-9 to be defined as per UE(1st preference), per band or per BC.</w:t>
      </w:r>
    </w:p>
    <w:p>
      <w:pPr>
        <w:numPr>
          <w:ilvl w:val="0"/>
          <w:numId w:val="0"/>
        </w:numPr>
        <w:rPr>
          <w:rFonts w:hint="eastAsia" w:ascii="Times New Roman" w:hAnsi="Times New Roman" w:cs="Times New Roman"/>
          <w:b/>
          <w:bCs/>
          <w:lang w:eastAsia="zh-CN"/>
        </w:rPr>
      </w:pPr>
      <w:r>
        <w:rPr>
          <w:rFonts w:hint="eastAsia"/>
          <w:b/>
          <w:bCs/>
          <w:sz w:val="21"/>
          <w:szCs w:val="21"/>
          <w:lang w:val="en-US" w:eastAsia="zh-CN"/>
        </w:rPr>
        <w:t>Proposal 6: Enhancements on m</w:t>
      </w:r>
      <w:r>
        <w:rPr>
          <w:rFonts w:hint="eastAsia"/>
          <w:b/>
          <w:bCs/>
          <w:sz w:val="21"/>
          <w:szCs w:val="21"/>
          <w:vertAlign w:val="baseline"/>
          <w:lang w:val="en-US" w:eastAsia="zh-CN"/>
        </w:rPr>
        <w:t xml:space="preserve">ultiple PUSCH/PDSCH scheduling by single DCI </w:t>
      </w:r>
      <w:r>
        <w:rPr>
          <w:rFonts w:hint="eastAsia"/>
          <w:b/>
          <w:bCs/>
          <w:sz w:val="21"/>
          <w:szCs w:val="21"/>
          <w:lang w:val="en-US" w:eastAsia="zh-CN"/>
        </w:rPr>
        <w:t>can be considered to be applied to all SCSs for FR1 and FR2-1 as optional features.</w:t>
      </w:r>
    </w:p>
    <w:p>
      <w:pPr>
        <w:pStyle w:val="2"/>
        <w:rPr>
          <w:lang w:eastAsia="zh-CN"/>
        </w:rPr>
      </w:pPr>
      <w:r>
        <w:rPr>
          <w:rFonts w:hint="eastAsia"/>
          <w:lang w:eastAsia="zh-CN"/>
        </w:rPr>
        <w:t>R</w:t>
      </w:r>
      <w:r>
        <w:rPr>
          <w:lang w:eastAsia="zh-CN"/>
        </w:rPr>
        <w:t>eference</w:t>
      </w:r>
    </w:p>
    <w:p>
      <w:pPr>
        <w:pStyle w:val="126"/>
        <w:rPr>
          <w:szCs w:val="22"/>
          <w:lang w:eastAsia="zh-CN"/>
        </w:rPr>
      </w:pPr>
      <w:r>
        <w:rPr>
          <w:rFonts w:hint="eastAsia"/>
          <w:szCs w:val="22"/>
          <w:lang w:val="en-US" w:eastAsia="zh-CN"/>
        </w:rPr>
        <w:t xml:space="preserve">R1-2202928, Updated RAN1 UE features list for Rel-17 NR after RAN1 #108-e, </w:t>
      </w:r>
      <w:r>
        <w:rPr>
          <w:szCs w:val="22"/>
          <w:lang w:eastAsia="zh-CN"/>
        </w:rPr>
        <w:t>Moderators (AT&amp;T, NTT DOCOMO, INC.)</w:t>
      </w:r>
    </w:p>
    <w:p>
      <w:pPr>
        <w:pStyle w:val="126"/>
        <w:numPr>
          <w:ilvl w:val="0"/>
          <w:numId w:val="0"/>
        </w:numPr>
        <w:ind w:leftChars="0"/>
        <w:rPr>
          <w:szCs w:val="22"/>
          <w:lang w:eastAsia="zh-CN"/>
        </w:rPr>
      </w:pP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2" w:usb3="00000000" w:csb0="4002009F" w:csb1="DFD70000"/>
  </w:font>
  <w:font w:name="MS Gothic">
    <w:panose1 w:val="020B0609070205080204"/>
    <w:charset w:val="80"/>
    <w:family w:val="auto"/>
    <w:pitch w:val="default"/>
    <w:sig w:usb0="E00002FF" w:usb1="6AC7FDFB" w:usb2="08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0B30A"/>
    <w:multiLevelType w:val="singleLevel"/>
    <w:tmpl w:val="8280B30A"/>
    <w:lvl w:ilvl="0" w:tentative="0">
      <w:start w:val="1"/>
      <w:numFmt w:val="bullet"/>
      <w:lvlText w:val=""/>
      <w:lvlJc w:val="left"/>
      <w:pPr>
        <w:ind w:left="420" w:hanging="420"/>
      </w:pPr>
      <w:rPr>
        <w:rFonts w:hint="default" w:ascii="Wingdings" w:hAnsi="Wingdings"/>
      </w:rPr>
    </w:lvl>
  </w:abstractNum>
  <w:abstractNum w:abstractNumId="1">
    <w:nsid w:val="9DD45DFF"/>
    <w:multiLevelType w:val="singleLevel"/>
    <w:tmpl w:val="9DD45DFF"/>
    <w:lvl w:ilvl="0" w:tentative="0">
      <w:start w:val="1"/>
      <w:numFmt w:val="decimal"/>
      <w:lvlText w:val="%1)"/>
      <w:lvlJc w:val="left"/>
      <w:pPr>
        <w:ind w:left="425" w:hanging="425"/>
      </w:pPr>
      <w:rPr>
        <w:rFonts w:hint="default"/>
      </w:rPr>
    </w:lvl>
  </w:abstractNum>
  <w:abstractNum w:abstractNumId="2">
    <w:nsid w:val="085C6F09"/>
    <w:multiLevelType w:val="multilevel"/>
    <w:tmpl w:val="085C6F09"/>
    <w:lvl w:ilvl="0" w:tentative="0">
      <w:start w:val="1"/>
      <w:numFmt w:val="decimal"/>
      <w:pStyle w:val="2"/>
      <w:lvlText w:val="%1"/>
      <w:lvlJc w:val="left"/>
      <w:pPr>
        <w:ind w:left="432" w:hanging="432"/>
      </w:pPr>
      <w:rPr>
        <w:rFonts w:hint="default" w:ascii="Times New Roman" w:hAnsi="Times New Roman" w:cs="Times New Roman"/>
        <w:b/>
        <w:bCs/>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1C4C4D3E"/>
    <w:multiLevelType w:val="multilevel"/>
    <w:tmpl w:val="1C4C4D3E"/>
    <w:lvl w:ilvl="0" w:tentative="0">
      <w:start w:val="1"/>
      <w:numFmt w:val="bullet"/>
      <w:lvlText w:val=""/>
      <w:lvlJc w:val="left"/>
      <w:pPr>
        <w:ind w:left="773" w:hanging="360"/>
      </w:pPr>
      <w:rPr>
        <w:rFonts w:hint="default" w:ascii="Symbol" w:hAnsi="Symbol"/>
      </w:rPr>
    </w:lvl>
    <w:lvl w:ilvl="1" w:tentative="0">
      <w:start w:val="1"/>
      <w:numFmt w:val="bullet"/>
      <w:lvlText w:val="o"/>
      <w:lvlJc w:val="left"/>
      <w:pPr>
        <w:ind w:left="1493" w:hanging="360"/>
      </w:pPr>
      <w:rPr>
        <w:rFonts w:hint="default" w:ascii="Courier New" w:hAnsi="Courier New" w:cs="Courier New"/>
      </w:rPr>
    </w:lvl>
    <w:lvl w:ilvl="2" w:tentative="0">
      <w:start w:val="1"/>
      <w:numFmt w:val="bullet"/>
      <w:lvlText w:val=""/>
      <w:lvlJc w:val="left"/>
      <w:pPr>
        <w:ind w:left="2213" w:hanging="360"/>
      </w:pPr>
      <w:rPr>
        <w:rFonts w:hint="default" w:ascii="Wingdings" w:hAnsi="Wingdings"/>
      </w:rPr>
    </w:lvl>
    <w:lvl w:ilvl="3" w:tentative="0">
      <w:start w:val="1"/>
      <w:numFmt w:val="bullet"/>
      <w:lvlText w:val=""/>
      <w:lvlJc w:val="left"/>
      <w:pPr>
        <w:ind w:left="2933" w:hanging="360"/>
      </w:pPr>
      <w:rPr>
        <w:rFonts w:hint="default" w:ascii="Symbol" w:hAnsi="Symbol"/>
      </w:rPr>
    </w:lvl>
    <w:lvl w:ilvl="4" w:tentative="0">
      <w:start w:val="1"/>
      <w:numFmt w:val="bullet"/>
      <w:lvlText w:val="o"/>
      <w:lvlJc w:val="left"/>
      <w:pPr>
        <w:ind w:left="3653" w:hanging="360"/>
      </w:pPr>
      <w:rPr>
        <w:rFonts w:hint="default" w:ascii="Courier New" w:hAnsi="Courier New" w:cs="Courier New"/>
      </w:rPr>
    </w:lvl>
    <w:lvl w:ilvl="5" w:tentative="0">
      <w:start w:val="1"/>
      <w:numFmt w:val="bullet"/>
      <w:lvlText w:val=""/>
      <w:lvlJc w:val="left"/>
      <w:pPr>
        <w:ind w:left="4373" w:hanging="360"/>
      </w:pPr>
      <w:rPr>
        <w:rFonts w:hint="default" w:ascii="Wingdings" w:hAnsi="Wingdings"/>
      </w:rPr>
    </w:lvl>
    <w:lvl w:ilvl="6" w:tentative="0">
      <w:start w:val="1"/>
      <w:numFmt w:val="bullet"/>
      <w:lvlText w:val=""/>
      <w:lvlJc w:val="left"/>
      <w:pPr>
        <w:ind w:left="5093" w:hanging="360"/>
      </w:pPr>
      <w:rPr>
        <w:rFonts w:hint="default" w:ascii="Symbol" w:hAnsi="Symbol"/>
      </w:rPr>
    </w:lvl>
    <w:lvl w:ilvl="7" w:tentative="0">
      <w:start w:val="1"/>
      <w:numFmt w:val="bullet"/>
      <w:lvlText w:val="o"/>
      <w:lvlJc w:val="left"/>
      <w:pPr>
        <w:ind w:left="5813" w:hanging="360"/>
      </w:pPr>
      <w:rPr>
        <w:rFonts w:hint="default" w:ascii="Courier New" w:hAnsi="Courier New" w:cs="Courier New"/>
      </w:rPr>
    </w:lvl>
    <w:lvl w:ilvl="8" w:tentative="0">
      <w:start w:val="1"/>
      <w:numFmt w:val="bullet"/>
      <w:lvlText w:val=""/>
      <w:lvlJc w:val="left"/>
      <w:pPr>
        <w:ind w:left="6533" w:hanging="36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42D36543"/>
    <w:multiLevelType w:val="multilevel"/>
    <w:tmpl w:val="42D3654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9"/>
  </w:num>
  <w:num w:numId="4">
    <w:abstractNumId w:val="6"/>
  </w:num>
  <w:num w:numId="5">
    <w:abstractNumId w:val="11"/>
  </w:num>
  <w:num w:numId="6">
    <w:abstractNumId w:val="8"/>
  </w:num>
  <w:num w:numId="7">
    <w:abstractNumId w:val="5"/>
  </w:num>
  <w:num w:numId="8">
    <w:abstractNumId w:val="10"/>
  </w:num>
  <w:num w:numId="9">
    <w:abstractNumId w:val="3"/>
  </w:num>
  <w:num w:numId="10">
    <w:abstractNumId w:val="7"/>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linkStyles/>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5A3"/>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4E1"/>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4D"/>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5FF0"/>
    <w:rsid w:val="00606930"/>
    <w:rsid w:val="00606E5E"/>
    <w:rsid w:val="006074B1"/>
    <w:rsid w:val="006077DA"/>
    <w:rsid w:val="00607ADE"/>
    <w:rsid w:val="00607E68"/>
    <w:rsid w:val="00610224"/>
    <w:rsid w:val="006102C6"/>
    <w:rsid w:val="006103F0"/>
    <w:rsid w:val="00610B78"/>
    <w:rsid w:val="006113A9"/>
    <w:rsid w:val="0061163A"/>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0554"/>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9E6"/>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5E0"/>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6C3"/>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5B3FDA"/>
    <w:rsid w:val="01614691"/>
    <w:rsid w:val="019D0CD2"/>
    <w:rsid w:val="02393085"/>
    <w:rsid w:val="0284643E"/>
    <w:rsid w:val="02C102AC"/>
    <w:rsid w:val="03532C3F"/>
    <w:rsid w:val="03B25C4C"/>
    <w:rsid w:val="03C46AFE"/>
    <w:rsid w:val="03F94E83"/>
    <w:rsid w:val="03FC4856"/>
    <w:rsid w:val="040E40E4"/>
    <w:rsid w:val="043E29BB"/>
    <w:rsid w:val="047514A9"/>
    <w:rsid w:val="05354C07"/>
    <w:rsid w:val="054735F3"/>
    <w:rsid w:val="05C356AC"/>
    <w:rsid w:val="05F73A91"/>
    <w:rsid w:val="06321DBF"/>
    <w:rsid w:val="067D4C1C"/>
    <w:rsid w:val="067F3872"/>
    <w:rsid w:val="069B60EE"/>
    <w:rsid w:val="06AF0E95"/>
    <w:rsid w:val="06B127E5"/>
    <w:rsid w:val="06F577C1"/>
    <w:rsid w:val="071157C1"/>
    <w:rsid w:val="072F2729"/>
    <w:rsid w:val="07C21FA9"/>
    <w:rsid w:val="08332479"/>
    <w:rsid w:val="083D14D0"/>
    <w:rsid w:val="08607750"/>
    <w:rsid w:val="088E00BF"/>
    <w:rsid w:val="08915D14"/>
    <w:rsid w:val="08996A50"/>
    <w:rsid w:val="089E481D"/>
    <w:rsid w:val="08BE2F1B"/>
    <w:rsid w:val="09020730"/>
    <w:rsid w:val="090470B5"/>
    <w:rsid w:val="090B13CF"/>
    <w:rsid w:val="091D01F5"/>
    <w:rsid w:val="0957797D"/>
    <w:rsid w:val="09670CCA"/>
    <w:rsid w:val="0972706B"/>
    <w:rsid w:val="09C21BB6"/>
    <w:rsid w:val="09D83A5F"/>
    <w:rsid w:val="09EF6DB1"/>
    <w:rsid w:val="0A301247"/>
    <w:rsid w:val="0A4577A3"/>
    <w:rsid w:val="0A520F97"/>
    <w:rsid w:val="0A8108F1"/>
    <w:rsid w:val="0A867EAB"/>
    <w:rsid w:val="0ACA6F59"/>
    <w:rsid w:val="0AFC60B7"/>
    <w:rsid w:val="0B02773E"/>
    <w:rsid w:val="0B5B21E1"/>
    <w:rsid w:val="0B60783C"/>
    <w:rsid w:val="0BAD7041"/>
    <w:rsid w:val="0C295DB4"/>
    <w:rsid w:val="0C366C8C"/>
    <w:rsid w:val="0C5C5079"/>
    <w:rsid w:val="0C6C13C0"/>
    <w:rsid w:val="0C6F5654"/>
    <w:rsid w:val="0D132BA9"/>
    <w:rsid w:val="0D660AC2"/>
    <w:rsid w:val="0D672BF6"/>
    <w:rsid w:val="0DEE2C82"/>
    <w:rsid w:val="0E120AD5"/>
    <w:rsid w:val="0EAB2090"/>
    <w:rsid w:val="0EB06FFE"/>
    <w:rsid w:val="0F0A5032"/>
    <w:rsid w:val="0F5F1CF6"/>
    <w:rsid w:val="0F8220F5"/>
    <w:rsid w:val="0F976B10"/>
    <w:rsid w:val="0FA73308"/>
    <w:rsid w:val="0FAE761C"/>
    <w:rsid w:val="0FB47B6E"/>
    <w:rsid w:val="0FC348D8"/>
    <w:rsid w:val="0FE53F7B"/>
    <w:rsid w:val="100237F2"/>
    <w:rsid w:val="1014188D"/>
    <w:rsid w:val="10150A41"/>
    <w:rsid w:val="1028591A"/>
    <w:rsid w:val="107D2C77"/>
    <w:rsid w:val="10950F59"/>
    <w:rsid w:val="10C2628F"/>
    <w:rsid w:val="10EA2ADB"/>
    <w:rsid w:val="116D3000"/>
    <w:rsid w:val="11903018"/>
    <w:rsid w:val="119314AF"/>
    <w:rsid w:val="11991019"/>
    <w:rsid w:val="1257267A"/>
    <w:rsid w:val="127F64C9"/>
    <w:rsid w:val="12831C31"/>
    <w:rsid w:val="12941B8C"/>
    <w:rsid w:val="12A472D8"/>
    <w:rsid w:val="12E5572C"/>
    <w:rsid w:val="12FE321B"/>
    <w:rsid w:val="13080510"/>
    <w:rsid w:val="130859B8"/>
    <w:rsid w:val="13EE7034"/>
    <w:rsid w:val="141F2191"/>
    <w:rsid w:val="1575AEB2"/>
    <w:rsid w:val="15A25AB8"/>
    <w:rsid w:val="15AB57AB"/>
    <w:rsid w:val="15ED18F4"/>
    <w:rsid w:val="15F14E10"/>
    <w:rsid w:val="160F0862"/>
    <w:rsid w:val="164F7F6D"/>
    <w:rsid w:val="16575065"/>
    <w:rsid w:val="165E068A"/>
    <w:rsid w:val="16C204CF"/>
    <w:rsid w:val="16DF5189"/>
    <w:rsid w:val="1702D3F2"/>
    <w:rsid w:val="174E0417"/>
    <w:rsid w:val="17697A7A"/>
    <w:rsid w:val="177E2E6D"/>
    <w:rsid w:val="178D60FC"/>
    <w:rsid w:val="17CD70C5"/>
    <w:rsid w:val="17D43D20"/>
    <w:rsid w:val="17E133CA"/>
    <w:rsid w:val="188D2058"/>
    <w:rsid w:val="18BA7603"/>
    <w:rsid w:val="18FD3F86"/>
    <w:rsid w:val="191B3281"/>
    <w:rsid w:val="192B740B"/>
    <w:rsid w:val="19497C62"/>
    <w:rsid w:val="19514547"/>
    <w:rsid w:val="195D6740"/>
    <w:rsid w:val="1A3B7FF3"/>
    <w:rsid w:val="1A4F6B66"/>
    <w:rsid w:val="1A514204"/>
    <w:rsid w:val="1B2E6DC7"/>
    <w:rsid w:val="1B412D0F"/>
    <w:rsid w:val="1B5316CE"/>
    <w:rsid w:val="1B5B369E"/>
    <w:rsid w:val="1B5E59D2"/>
    <w:rsid w:val="1B622B9C"/>
    <w:rsid w:val="1B8F0407"/>
    <w:rsid w:val="1BF37FB4"/>
    <w:rsid w:val="1C1B06DB"/>
    <w:rsid w:val="1C766428"/>
    <w:rsid w:val="1C852386"/>
    <w:rsid w:val="1C953160"/>
    <w:rsid w:val="1C9A14EF"/>
    <w:rsid w:val="1D250218"/>
    <w:rsid w:val="1D4C3103"/>
    <w:rsid w:val="1D4E7EBA"/>
    <w:rsid w:val="1DA64477"/>
    <w:rsid w:val="1DD50930"/>
    <w:rsid w:val="1DE14A80"/>
    <w:rsid w:val="1DF407BB"/>
    <w:rsid w:val="1E0C6DA3"/>
    <w:rsid w:val="1E38003B"/>
    <w:rsid w:val="1E45402F"/>
    <w:rsid w:val="1E65385C"/>
    <w:rsid w:val="1E7531C8"/>
    <w:rsid w:val="1EAD7E28"/>
    <w:rsid w:val="1EFF0C3D"/>
    <w:rsid w:val="1F2E2322"/>
    <w:rsid w:val="1F850095"/>
    <w:rsid w:val="1F9441DB"/>
    <w:rsid w:val="1FA6194A"/>
    <w:rsid w:val="1FB91CD0"/>
    <w:rsid w:val="2072115E"/>
    <w:rsid w:val="20910CB1"/>
    <w:rsid w:val="20A51143"/>
    <w:rsid w:val="20A83EC2"/>
    <w:rsid w:val="20AB3C7B"/>
    <w:rsid w:val="20CD42FE"/>
    <w:rsid w:val="20E51B3C"/>
    <w:rsid w:val="21035A99"/>
    <w:rsid w:val="21207732"/>
    <w:rsid w:val="21282288"/>
    <w:rsid w:val="21630CA9"/>
    <w:rsid w:val="21910057"/>
    <w:rsid w:val="21E94452"/>
    <w:rsid w:val="21EF37E4"/>
    <w:rsid w:val="22084F16"/>
    <w:rsid w:val="22102BB2"/>
    <w:rsid w:val="223C42A5"/>
    <w:rsid w:val="22564C68"/>
    <w:rsid w:val="227C508F"/>
    <w:rsid w:val="22C31DE8"/>
    <w:rsid w:val="22D6264A"/>
    <w:rsid w:val="22DB0E97"/>
    <w:rsid w:val="23241AAA"/>
    <w:rsid w:val="232711B9"/>
    <w:rsid w:val="23680C07"/>
    <w:rsid w:val="2373040D"/>
    <w:rsid w:val="239E142D"/>
    <w:rsid w:val="23B87095"/>
    <w:rsid w:val="2452217D"/>
    <w:rsid w:val="245870DE"/>
    <w:rsid w:val="247247A7"/>
    <w:rsid w:val="2473146A"/>
    <w:rsid w:val="24C20B29"/>
    <w:rsid w:val="24C218B8"/>
    <w:rsid w:val="257E7BCD"/>
    <w:rsid w:val="25876D0B"/>
    <w:rsid w:val="25F70C8C"/>
    <w:rsid w:val="264966D0"/>
    <w:rsid w:val="26551FDC"/>
    <w:rsid w:val="265A0917"/>
    <w:rsid w:val="266551BB"/>
    <w:rsid w:val="26944FA3"/>
    <w:rsid w:val="26D05EA6"/>
    <w:rsid w:val="27011F69"/>
    <w:rsid w:val="27032958"/>
    <w:rsid w:val="270A5B4A"/>
    <w:rsid w:val="27155C2B"/>
    <w:rsid w:val="27852606"/>
    <w:rsid w:val="27972596"/>
    <w:rsid w:val="27C5366D"/>
    <w:rsid w:val="27DD67CA"/>
    <w:rsid w:val="27E37869"/>
    <w:rsid w:val="281C130B"/>
    <w:rsid w:val="28501A9D"/>
    <w:rsid w:val="28690808"/>
    <w:rsid w:val="28797B18"/>
    <w:rsid w:val="28A7237E"/>
    <w:rsid w:val="28B07E55"/>
    <w:rsid w:val="28B475B2"/>
    <w:rsid w:val="28B54AA2"/>
    <w:rsid w:val="28DE666C"/>
    <w:rsid w:val="28F16ABE"/>
    <w:rsid w:val="28F43663"/>
    <w:rsid w:val="29493D59"/>
    <w:rsid w:val="294D6347"/>
    <w:rsid w:val="296B12DE"/>
    <w:rsid w:val="298E0EA0"/>
    <w:rsid w:val="2A0C2088"/>
    <w:rsid w:val="2A0F0B23"/>
    <w:rsid w:val="2A7D1302"/>
    <w:rsid w:val="2A8453DF"/>
    <w:rsid w:val="2A9112B2"/>
    <w:rsid w:val="2AFE2B7E"/>
    <w:rsid w:val="2B1D3A8B"/>
    <w:rsid w:val="2B206327"/>
    <w:rsid w:val="2B5D28A9"/>
    <w:rsid w:val="2B94082E"/>
    <w:rsid w:val="2BEB6B12"/>
    <w:rsid w:val="2BF90B11"/>
    <w:rsid w:val="2BFE5213"/>
    <w:rsid w:val="2C5524B6"/>
    <w:rsid w:val="2C7C19F6"/>
    <w:rsid w:val="2C7D5F1D"/>
    <w:rsid w:val="2C983326"/>
    <w:rsid w:val="2CCA13BE"/>
    <w:rsid w:val="2CEB40D6"/>
    <w:rsid w:val="2D200D6D"/>
    <w:rsid w:val="2D376513"/>
    <w:rsid w:val="2D5D299B"/>
    <w:rsid w:val="2D5D5D7E"/>
    <w:rsid w:val="2D89714D"/>
    <w:rsid w:val="2DC863F1"/>
    <w:rsid w:val="2DD178B2"/>
    <w:rsid w:val="2E3F5CE3"/>
    <w:rsid w:val="2E774C5D"/>
    <w:rsid w:val="2EB72406"/>
    <w:rsid w:val="2F182D25"/>
    <w:rsid w:val="2F2367DE"/>
    <w:rsid w:val="2F435366"/>
    <w:rsid w:val="2F636139"/>
    <w:rsid w:val="2F82196A"/>
    <w:rsid w:val="2F883E46"/>
    <w:rsid w:val="2FC1724D"/>
    <w:rsid w:val="30144712"/>
    <w:rsid w:val="303C5925"/>
    <w:rsid w:val="304150D6"/>
    <w:rsid w:val="30537AEC"/>
    <w:rsid w:val="30877CBB"/>
    <w:rsid w:val="30AF1516"/>
    <w:rsid w:val="313E73EF"/>
    <w:rsid w:val="314B7480"/>
    <w:rsid w:val="31542D3B"/>
    <w:rsid w:val="31637567"/>
    <w:rsid w:val="31AE10B3"/>
    <w:rsid w:val="31E04793"/>
    <w:rsid w:val="32186635"/>
    <w:rsid w:val="323F44C3"/>
    <w:rsid w:val="32832752"/>
    <w:rsid w:val="32B811A1"/>
    <w:rsid w:val="32FE23BF"/>
    <w:rsid w:val="330E6893"/>
    <w:rsid w:val="33811BE4"/>
    <w:rsid w:val="33DE0CB9"/>
    <w:rsid w:val="33F415EE"/>
    <w:rsid w:val="346E48B2"/>
    <w:rsid w:val="34C13E1A"/>
    <w:rsid w:val="34C14BBF"/>
    <w:rsid w:val="34DC0FC5"/>
    <w:rsid w:val="34E76985"/>
    <w:rsid w:val="3511129D"/>
    <w:rsid w:val="354D6A91"/>
    <w:rsid w:val="358F4FE0"/>
    <w:rsid w:val="359455FE"/>
    <w:rsid w:val="35A441CB"/>
    <w:rsid w:val="35C34617"/>
    <w:rsid w:val="35D61129"/>
    <w:rsid w:val="35EA2C90"/>
    <w:rsid w:val="360B2143"/>
    <w:rsid w:val="363B4B5E"/>
    <w:rsid w:val="363E5BF0"/>
    <w:rsid w:val="364818DA"/>
    <w:rsid w:val="367651C2"/>
    <w:rsid w:val="368765D4"/>
    <w:rsid w:val="36A00443"/>
    <w:rsid w:val="36CD07B0"/>
    <w:rsid w:val="36CE57C7"/>
    <w:rsid w:val="37387C60"/>
    <w:rsid w:val="375C57D7"/>
    <w:rsid w:val="376416AB"/>
    <w:rsid w:val="379111FA"/>
    <w:rsid w:val="37957A8B"/>
    <w:rsid w:val="37DD651E"/>
    <w:rsid w:val="38070650"/>
    <w:rsid w:val="38116873"/>
    <w:rsid w:val="38650205"/>
    <w:rsid w:val="388D53A0"/>
    <w:rsid w:val="38935271"/>
    <w:rsid w:val="38977456"/>
    <w:rsid w:val="38BA113F"/>
    <w:rsid w:val="393C7730"/>
    <w:rsid w:val="39804B3A"/>
    <w:rsid w:val="39B512D1"/>
    <w:rsid w:val="39C41747"/>
    <w:rsid w:val="39FFE3DB"/>
    <w:rsid w:val="3A135075"/>
    <w:rsid w:val="3A1C61C7"/>
    <w:rsid w:val="3A2577A4"/>
    <w:rsid w:val="3A455F4E"/>
    <w:rsid w:val="3A4E3D20"/>
    <w:rsid w:val="3A593C15"/>
    <w:rsid w:val="3A733664"/>
    <w:rsid w:val="3A8424B5"/>
    <w:rsid w:val="3AB31D0C"/>
    <w:rsid w:val="3ADE0935"/>
    <w:rsid w:val="3B202978"/>
    <w:rsid w:val="3B3D1CB8"/>
    <w:rsid w:val="3B4A3B53"/>
    <w:rsid w:val="3B8159E3"/>
    <w:rsid w:val="3B826AF1"/>
    <w:rsid w:val="3B862F95"/>
    <w:rsid w:val="3B884EC6"/>
    <w:rsid w:val="3BD4323F"/>
    <w:rsid w:val="3BF47021"/>
    <w:rsid w:val="3C923082"/>
    <w:rsid w:val="3CBF7A5B"/>
    <w:rsid w:val="3D0354C7"/>
    <w:rsid w:val="3D1A31EA"/>
    <w:rsid w:val="3D4D2A62"/>
    <w:rsid w:val="3D7642C9"/>
    <w:rsid w:val="3D96253D"/>
    <w:rsid w:val="3DDA6D42"/>
    <w:rsid w:val="3DDC2220"/>
    <w:rsid w:val="3DE75618"/>
    <w:rsid w:val="3E384B9A"/>
    <w:rsid w:val="3E7347F4"/>
    <w:rsid w:val="3EF83C43"/>
    <w:rsid w:val="3F01664D"/>
    <w:rsid w:val="3F0E2749"/>
    <w:rsid w:val="3F175FC8"/>
    <w:rsid w:val="3F1C2ACA"/>
    <w:rsid w:val="3F2D0E91"/>
    <w:rsid w:val="3F3B46D7"/>
    <w:rsid w:val="3F884A8B"/>
    <w:rsid w:val="3FA85C12"/>
    <w:rsid w:val="3FD010A5"/>
    <w:rsid w:val="3FEE593C"/>
    <w:rsid w:val="402F5401"/>
    <w:rsid w:val="40305732"/>
    <w:rsid w:val="40770721"/>
    <w:rsid w:val="40850DCD"/>
    <w:rsid w:val="40A53988"/>
    <w:rsid w:val="40D93367"/>
    <w:rsid w:val="40FE4BC2"/>
    <w:rsid w:val="4131391A"/>
    <w:rsid w:val="4146320C"/>
    <w:rsid w:val="416626E9"/>
    <w:rsid w:val="4172478A"/>
    <w:rsid w:val="419C3FE2"/>
    <w:rsid w:val="419F36FF"/>
    <w:rsid w:val="41AC1D9C"/>
    <w:rsid w:val="41D14EB1"/>
    <w:rsid w:val="421B06F8"/>
    <w:rsid w:val="423056AE"/>
    <w:rsid w:val="4242619A"/>
    <w:rsid w:val="42B20782"/>
    <w:rsid w:val="42C579C5"/>
    <w:rsid w:val="43A03353"/>
    <w:rsid w:val="43D87B68"/>
    <w:rsid w:val="43EB30D3"/>
    <w:rsid w:val="442D2DE3"/>
    <w:rsid w:val="44766284"/>
    <w:rsid w:val="44877259"/>
    <w:rsid w:val="44917C93"/>
    <w:rsid w:val="44B427E7"/>
    <w:rsid w:val="44DF7F7A"/>
    <w:rsid w:val="45544FE9"/>
    <w:rsid w:val="45876FEB"/>
    <w:rsid w:val="459F4098"/>
    <w:rsid w:val="45A11779"/>
    <w:rsid w:val="46601663"/>
    <w:rsid w:val="46931CE5"/>
    <w:rsid w:val="46BD61EA"/>
    <w:rsid w:val="46C6488A"/>
    <w:rsid w:val="46D278DC"/>
    <w:rsid w:val="46D41E44"/>
    <w:rsid w:val="46E72254"/>
    <w:rsid w:val="47390656"/>
    <w:rsid w:val="473B0EA9"/>
    <w:rsid w:val="473E5FFD"/>
    <w:rsid w:val="47721B4C"/>
    <w:rsid w:val="47AE2F53"/>
    <w:rsid w:val="47B7436A"/>
    <w:rsid w:val="47D0668E"/>
    <w:rsid w:val="47E573DE"/>
    <w:rsid w:val="48E24AAF"/>
    <w:rsid w:val="49446ABC"/>
    <w:rsid w:val="49470356"/>
    <w:rsid w:val="496938E0"/>
    <w:rsid w:val="496E5F81"/>
    <w:rsid w:val="4976531C"/>
    <w:rsid w:val="49882B35"/>
    <w:rsid w:val="49891840"/>
    <w:rsid w:val="498A45BC"/>
    <w:rsid w:val="49C049A2"/>
    <w:rsid w:val="49F13E8D"/>
    <w:rsid w:val="4A1D2F41"/>
    <w:rsid w:val="4A76005D"/>
    <w:rsid w:val="4AA67C68"/>
    <w:rsid w:val="4AB26B6E"/>
    <w:rsid w:val="4AD10C34"/>
    <w:rsid w:val="4AF344BE"/>
    <w:rsid w:val="4B3872E6"/>
    <w:rsid w:val="4BB02225"/>
    <w:rsid w:val="4BB279FF"/>
    <w:rsid w:val="4BD84930"/>
    <w:rsid w:val="4BEC2752"/>
    <w:rsid w:val="4BF02E3C"/>
    <w:rsid w:val="4C2E74F9"/>
    <w:rsid w:val="4C34513F"/>
    <w:rsid w:val="4C516C1D"/>
    <w:rsid w:val="4C6E4EB1"/>
    <w:rsid w:val="4C7D74EB"/>
    <w:rsid w:val="4C8270B3"/>
    <w:rsid w:val="4C885BDB"/>
    <w:rsid w:val="4C9949DE"/>
    <w:rsid w:val="4C9950AB"/>
    <w:rsid w:val="4CA149AE"/>
    <w:rsid w:val="4CF22066"/>
    <w:rsid w:val="4D061C0C"/>
    <w:rsid w:val="4D0929BC"/>
    <w:rsid w:val="4D162CE4"/>
    <w:rsid w:val="4DBB39B8"/>
    <w:rsid w:val="4DC57879"/>
    <w:rsid w:val="4DF51404"/>
    <w:rsid w:val="4E5633F4"/>
    <w:rsid w:val="4E6F300E"/>
    <w:rsid w:val="4E7740D9"/>
    <w:rsid w:val="4E9D125B"/>
    <w:rsid w:val="4EAC0AFF"/>
    <w:rsid w:val="4EB36341"/>
    <w:rsid w:val="4EBC5FEB"/>
    <w:rsid w:val="4EC2021D"/>
    <w:rsid w:val="4F062B48"/>
    <w:rsid w:val="4F0A1D62"/>
    <w:rsid w:val="4FA32868"/>
    <w:rsid w:val="4FC56FFD"/>
    <w:rsid w:val="4FE8430B"/>
    <w:rsid w:val="50FD13B2"/>
    <w:rsid w:val="519653E5"/>
    <w:rsid w:val="52306AD7"/>
    <w:rsid w:val="52810955"/>
    <w:rsid w:val="529B5F6D"/>
    <w:rsid w:val="52AE3CC1"/>
    <w:rsid w:val="52EC36A9"/>
    <w:rsid w:val="52FE30BB"/>
    <w:rsid w:val="536E79E7"/>
    <w:rsid w:val="53980B35"/>
    <w:rsid w:val="53D61FFF"/>
    <w:rsid w:val="53F266FD"/>
    <w:rsid w:val="53F82962"/>
    <w:rsid w:val="54535504"/>
    <w:rsid w:val="545541B0"/>
    <w:rsid w:val="548C5740"/>
    <w:rsid w:val="54BB2A76"/>
    <w:rsid w:val="54CE2507"/>
    <w:rsid w:val="54D30D99"/>
    <w:rsid w:val="55181CD2"/>
    <w:rsid w:val="55215DC8"/>
    <w:rsid w:val="5557432A"/>
    <w:rsid w:val="55AB6E98"/>
    <w:rsid w:val="55D01D97"/>
    <w:rsid w:val="55F216AD"/>
    <w:rsid w:val="56650575"/>
    <w:rsid w:val="567811DE"/>
    <w:rsid w:val="56B02749"/>
    <w:rsid w:val="56C11AE7"/>
    <w:rsid w:val="56C367B8"/>
    <w:rsid w:val="56F04ACA"/>
    <w:rsid w:val="57055083"/>
    <w:rsid w:val="57244B18"/>
    <w:rsid w:val="573000DE"/>
    <w:rsid w:val="57467B0F"/>
    <w:rsid w:val="574F7FB4"/>
    <w:rsid w:val="57815A6B"/>
    <w:rsid w:val="578434CD"/>
    <w:rsid w:val="5784355D"/>
    <w:rsid w:val="57EF6871"/>
    <w:rsid w:val="58240039"/>
    <w:rsid w:val="5829599B"/>
    <w:rsid w:val="584A2D7E"/>
    <w:rsid w:val="587C473C"/>
    <w:rsid w:val="58FD6EF8"/>
    <w:rsid w:val="59026742"/>
    <w:rsid w:val="595A121E"/>
    <w:rsid w:val="59826DE5"/>
    <w:rsid w:val="598B0A82"/>
    <w:rsid w:val="59C75644"/>
    <w:rsid w:val="59D03CE3"/>
    <w:rsid w:val="5A0A7E56"/>
    <w:rsid w:val="5A597F3A"/>
    <w:rsid w:val="5A9924AC"/>
    <w:rsid w:val="5A9B1F42"/>
    <w:rsid w:val="5ABE6505"/>
    <w:rsid w:val="5AEF7112"/>
    <w:rsid w:val="5AF07FF7"/>
    <w:rsid w:val="5AF422E5"/>
    <w:rsid w:val="5AFE2277"/>
    <w:rsid w:val="5B06352F"/>
    <w:rsid w:val="5B5830B9"/>
    <w:rsid w:val="5BAE668F"/>
    <w:rsid w:val="5BC02D2A"/>
    <w:rsid w:val="5BF26431"/>
    <w:rsid w:val="5C052BE4"/>
    <w:rsid w:val="5C090722"/>
    <w:rsid w:val="5C4A6B8A"/>
    <w:rsid w:val="5C832BE2"/>
    <w:rsid w:val="5CA96672"/>
    <w:rsid w:val="5CF45D46"/>
    <w:rsid w:val="5D20789A"/>
    <w:rsid w:val="5D4B3922"/>
    <w:rsid w:val="5D601D27"/>
    <w:rsid w:val="5DBF3253"/>
    <w:rsid w:val="5DC86163"/>
    <w:rsid w:val="5DD8724D"/>
    <w:rsid w:val="5E444080"/>
    <w:rsid w:val="5E6C3876"/>
    <w:rsid w:val="5E780DEA"/>
    <w:rsid w:val="5ED91092"/>
    <w:rsid w:val="5F631FA8"/>
    <w:rsid w:val="5F8F28F0"/>
    <w:rsid w:val="5FBD5A90"/>
    <w:rsid w:val="5FBF44F5"/>
    <w:rsid w:val="5FF05F2C"/>
    <w:rsid w:val="605956D3"/>
    <w:rsid w:val="60746EA7"/>
    <w:rsid w:val="610D666F"/>
    <w:rsid w:val="615E09D0"/>
    <w:rsid w:val="619B3EE8"/>
    <w:rsid w:val="61BD5E02"/>
    <w:rsid w:val="61C418BE"/>
    <w:rsid w:val="6257355B"/>
    <w:rsid w:val="62915679"/>
    <w:rsid w:val="632B3001"/>
    <w:rsid w:val="633D388A"/>
    <w:rsid w:val="639C35E8"/>
    <w:rsid w:val="63E276B0"/>
    <w:rsid w:val="64136261"/>
    <w:rsid w:val="642003CD"/>
    <w:rsid w:val="642749A4"/>
    <w:rsid w:val="64A76209"/>
    <w:rsid w:val="64B14326"/>
    <w:rsid w:val="64B17508"/>
    <w:rsid w:val="64C00CA6"/>
    <w:rsid w:val="64E60C49"/>
    <w:rsid w:val="65507243"/>
    <w:rsid w:val="6556721A"/>
    <w:rsid w:val="65576B9C"/>
    <w:rsid w:val="656027FF"/>
    <w:rsid w:val="656371B5"/>
    <w:rsid w:val="65961F5E"/>
    <w:rsid w:val="66426FDA"/>
    <w:rsid w:val="66457E51"/>
    <w:rsid w:val="66466A33"/>
    <w:rsid w:val="6680376E"/>
    <w:rsid w:val="66C21BDF"/>
    <w:rsid w:val="66EB083F"/>
    <w:rsid w:val="66ED31EA"/>
    <w:rsid w:val="66F01D18"/>
    <w:rsid w:val="67926798"/>
    <w:rsid w:val="68016991"/>
    <w:rsid w:val="686F5C2B"/>
    <w:rsid w:val="68986641"/>
    <w:rsid w:val="68B823F9"/>
    <w:rsid w:val="691A3243"/>
    <w:rsid w:val="696C42BB"/>
    <w:rsid w:val="698A6B0F"/>
    <w:rsid w:val="69CD154D"/>
    <w:rsid w:val="69DC4789"/>
    <w:rsid w:val="69E87AF7"/>
    <w:rsid w:val="6A710F0E"/>
    <w:rsid w:val="6A782EAA"/>
    <w:rsid w:val="6AB81046"/>
    <w:rsid w:val="6AC36F19"/>
    <w:rsid w:val="6AD2B077"/>
    <w:rsid w:val="6B010AB4"/>
    <w:rsid w:val="6B704279"/>
    <w:rsid w:val="6BE65CCD"/>
    <w:rsid w:val="6BE9059A"/>
    <w:rsid w:val="6BFC5525"/>
    <w:rsid w:val="6C5A77A4"/>
    <w:rsid w:val="6C8F02B3"/>
    <w:rsid w:val="6CDB698D"/>
    <w:rsid w:val="6D020EA1"/>
    <w:rsid w:val="6D6E542F"/>
    <w:rsid w:val="6DEE71B4"/>
    <w:rsid w:val="6E09771D"/>
    <w:rsid w:val="6E0F1211"/>
    <w:rsid w:val="6E770DAD"/>
    <w:rsid w:val="6EDD0616"/>
    <w:rsid w:val="6F236B83"/>
    <w:rsid w:val="6F245A23"/>
    <w:rsid w:val="6F8030A8"/>
    <w:rsid w:val="6F970344"/>
    <w:rsid w:val="6FBD0858"/>
    <w:rsid w:val="6FD57FBC"/>
    <w:rsid w:val="6FEE2D19"/>
    <w:rsid w:val="701427A6"/>
    <w:rsid w:val="708F2BE1"/>
    <w:rsid w:val="70951F05"/>
    <w:rsid w:val="711454E2"/>
    <w:rsid w:val="71A07979"/>
    <w:rsid w:val="71B56824"/>
    <w:rsid w:val="71D56911"/>
    <w:rsid w:val="72182AD7"/>
    <w:rsid w:val="72890C17"/>
    <w:rsid w:val="72E1752D"/>
    <w:rsid w:val="731B3CC8"/>
    <w:rsid w:val="73A015C2"/>
    <w:rsid w:val="73A913CF"/>
    <w:rsid w:val="73AA32BD"/>
    <w:rsid w:val="73EB1497"/>
    <w:rsid w:val="73EF5EEC"/>
    <w:rsid w:val="73F053DA"/>
    <w:rsid w:val="73FF7E59"/>
    <w:rsid w:val="74000A47"/>
    <w:rsid w:val="7450567D"/>
    <w:rsid w:val="7453069D"/>
    <w:rsid w:val="7464428D"/>
    <w:rsid w:val="74885606"/>
    <w:rsid w:val="74BD130B"/>
    <w:rsid w:val="74CB4389"/>
    <w:rsid w:val="74CE1385"/>
    <w:rsid w:val="751115BE"/>
    <w:rsid w:val="753B09CD"/>
    <w:rsid w:val="75504CE9"/>
    <w:rsid w:val="75740E00"/>
    <w:rsid w:val="758B62FB"/>
    <w:rsid w:val="75A1178C"/>
    <w:rsid w:val="75F92EB5"/>
    <w:rsid w:val="763A080C"/>
    <w:rsid w:val="76D66278"/>
    <w:rsid w:val="76E07114"/>
    <w:rsid w:val="76EB5B39"/>
    <w:rsid w:val="771B7E8A"/>
    <w:rsid w:val="771E081D"/>
    <w:rsid w:val="775B6E7F"/>
    <w:rsid w:val="776F4F23"/>
    <w:rsid w:val="77CB6B89"/>
    <w:rsid w:val="77DE55EA"/>
    <w:rsid w:val="77FA6DE8"/>
    <w:rsid w:val="78156E78"/>
    <w:rsid w:val="78167301"/>
    <w:rsid w:val="782D5EAF"/>
    <w:rsid w:val="786302A1"/>
    <w:rsid w:val="789F1175"/>
    <w:rsid w:val="78AF5AB8"/>
    <w:rsid w:val="78B705CA"/>
    <w:rsid w:val="7931734A"/>
    <w:rsid w:val="793F4074"/>
    <w:rsid w:val="794F70A5"/>
    <w:rsid w:val="798B42D0"/>
    <w:rsid w:val="79CF5A37"/>
    <w:rsid w:val="7A1F356C"/>
    <w:rsid w:val="7A630566"/>
    <w:rsid w:val="7AA819BC"/>
    <w:rsid w:val="7AD065CF"/>
    <w:rsid w:val="7AD14C3F"/>
    <w:rsid w:val="7ADB38D4"/>
    <w:rsid w:val="7AF4615B"/>
    <w:rsid w:val="7B112118"/>
    <w:rsid w:val="7B1A19EC"/>
    <w:rsid w:val="7B3050CF"/>
    <w:rsid w:val="7B596282"/>
    <w:rsid w:val="7B8F2A76"/>
    <w:rsid w:val="7BB42C4F"/>
    <w:rsid w:val="7C0A3A33"/>
    <w:rsid w:val="7C5478B1"/>
    <w:rsid w:val="7C6A6266"/>
    <w:rsid w:val="7C942694"/>
    <w:rsid w:val="7C9969A2"/>
    <w:rsid w:val="7C9B670A"/>
    <w:rsid w:val="7CDC153C"/>
    <w:rsid w:val="7D580683"/>
    <w:rsid w:val="7D790CA4"/>
    <w:rsid w:val="7D874E79"/>
    <w:rsid w:val="7DB10CCE"/>
    <w:rsid w:val="7DD2691C"/>
    <w:rsid w:val="7E0B6E07"/>
    <w:rsid w:val="7E1A0A9F"/>
    <w:rsid w:val="7E22266C"/>
    <w:rsid w:val="7E3563A1"/>
    <w:rsid w:val="7E373A8E"/>
    <w:rsid w:val="7E414D43"/>
    <w:rsid w:val="7E9326F9"/>
    <w:rsid w:val="7ED756C5"/>
    <w:rsid w:val="7EE20452"/>
    <w:rsid w:val="7EFA4685"/>
    <w:rsid w:val="7EFB2A78"/>
    <w:rsid w:val="7F395D9C"/>
    <w:rsid w:val="7F5D36E6"/>
    <w:rsid w:val="7F691C83"/>
    <w:rsid w:val="7F824112"/>
    <w:rsid w:val="7F847C5A"/>
    <w:rsid w:val="7FB26FD1"/>
    <w:rsid w:val="7FDC0C90"/>
    <w:rsid w:val="7FFE62FF"/>
    <w:rsid w:val="ED7F250E"/>
    <w:rsid w:val="F07A4E36"/>
    <w:rsid w:val="F6FB463D"/>
    <w:rsid w:val="FB7A66EC"/>
    <w:rsid w:val="FD2D8A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unhideWhenUsed/>
    <w:qFormat/>
    <w:uiPriority w:val="1"/>
  </w:style>
  <w:style w:type="table" w:default="1" w:styleId="50">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customStyle="1"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32"/>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 w:type="paragraph" w:customStyle="1" w:styleId="162">
    <w:name w:val="main text"/>
    <w:basedOn w:val="1"/>
    <w:qFormat/>
    <w:uiPriority w:val="0"/>
    <w:pPr>
      <w:spacing w:after="60" w:line="288" w:lineRule="auto"/>
      <w:ind w:firstLine="200" w:firstLineChars="200"/>
    </w:pPr>
    <w:rPr>
      <w:rFonts w:ascii="Times New Roman" w:hAnsi="Times New Roman" w:eastAsia="Malgun Gothic" w:cs="Batang"/>
      <w:lang w:val="en-GB" w:eastAsia="ko-KR"/>
    </w:rPr>
  </w:style>
  <w:style w:type="paragraph" w:customStyle="1" w:styleId="163">
    <w:name w:val="b110"/>
    <w:basedOn w:val="1"/>
    <w:qFormat/>
    <w:uiPriority w:val="0"/>
    <w:pPr>
      <w:overflowPunct/>
      <w:autoSpaceDE/>
      <w:autoSpaceDN/>
      <w:adjustRightInd/>
      <w:spacing w:before="75" w:after="75"/>
      <w:textAlignment w:val="auto"/>
    </w:pPr>
    <w:rPr>
      <w:rFonts w:eastAsia="Times New Roman"/>
      <w:sz w:val="24"/>
      <w:szCs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home\10087058@zte.intra\D:\home\10087058@zte.intra\D:\home\10087058@zte.intra\D:\home\10087058@zte.intra\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ZTE Corporation</Company>
  <Pages>4</Pages>
  <Words>1291</Words>
  <Characters>7363</Characters>
  <Lines>61</Lines>
  <Paragraphs>17</Paragraphs>
  <TotalTime>2</TotalTime>
  <ScaleCrop>false</ScaleCrop>
  <LinksUpToDate>false</LinksUpToDate>
  <CharactersWithSpaces>8637</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2021-09-30T17:36:00Z</dcterms:created>
  <dc:creator>ZTE Corporation</dc:creator>
  <cp:lastModifiedBy>ZTE</cp:lastModifiedBy>
  <cp:lastPrinted>2018-04-08T19:05:00Z</cp:lastPrinted>
  <dcterms:modified xsi:type="dcterms:W3CDTF">2022-04-25T03:09:14Z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2052-11.8.2.11019</vt:lpwstr>
  </property>
  <property fmtid="{D5CDD505-2E9C-101B-9397-08002B2CF9AE}" pid="11" name="ICV">
    <vt:lpwstr>06A4C97D96C74676B3A1A66D206C675D</vt:lpwstr>
  </property>
</Properties>
</file>